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A4336" w14:textId="49043093" w:rsidR="00FA5975" w:rsidRPr="00A56773" w:rsidRDefault="00FA5975" w:rsidP="00FA5975">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w:t>
      </w:r>
      <w:r w:rsidRPr="00A56773">
        <w:rPr>
          <w:b/>
          <w:i/>
          <w:noProof/>
          <w:sz w:val="24"/>
          <w:szCs w:val="28"/>
        </w:rPr>
        <w:tab/>
      </w:r>
      <w:r w:rsidRPr="00FA5975">
        <w:rPr>
          <w:b/>
          <w:noProof/>
          <w:sz w:val="28"/>
          <w:szCs w:val="28"/>
        </w:rPr>
        <w:t>R3-193747</w:t>
      </w:r>
    </w:p>
    <w:p w14:paraId="0C1154F9" w14:textId="4AE33387" w:rsidR="00FA5975" w:rsidRDefault="00FA5975" w:rsidP="00FA5975">
      <w:pPr>
        <w:pStyle w:val="CRCoverPage"/>
        <w:outlineLvl w:val="0"/>
        <w:rPr>
          <w:b/>
          <w:noProof/>
          <w:sz w:val="24"/>
          <w:szCs w:val="28"/>
        </w:rPr>
      </w:pPr>
      <w:r>
        <w:rPr>
          <w:b/>
          <w:noProof/>
          <w:sz w:val="24"/>
          <w:szCs w:val="28"/>
        </w:rPr>
        <w:t>Ljubljana, Slovenia</w:t>
      </w:r>
      <w:r w:rsidRPr="00A56773">
        <w:rPr>
          <w:b/>
          <w:noProof/>
          <w:sz w:val="24"/>
          <w:szCs w:val="28"/>
        </w:rPr>
        <w:t xml:space="preserve">, </w:t>
      </w:r>
      <w:r>
        <w:rPr>
          <w:b/>
          <w:noProof/>
          <w:sz w:val="24"/>
          <w:szCs w:val="28"/>
        </w:rPr>
        <w:t>August</w:t>
      </w:r>
      <w:r w:rsidRPr="00A56773">
        <w:rPr>
          <w:b/>
          <w:noProof/>
          <w:sz w:val="24"/>
          <w:szCs w:val="28"/>
        </w:rPr>
        <w:t xml:space="preserve"> </w:t>
      </w:r>
      <w:r>
        <w:rPr>
          <w:b/>
          <w:noProof/>
          <w:sz w:val="24"/>
          <w:szCs w:val="28"/>
        </w:rPr>
        <w:t>26</w:t>
      </w:r>
      <w:r w:rsidRPr="00A56773">
        <w:rPr>
          <w:b/>
          <w:noProof/>
          <w:sz w:val="24"/>
          <w:szCs w:val="28"/>
          <w:vertAlign w:val="superscript"/>
        </w:rPr>
        <w:t>th</w:t>
      </w:r>
      <w:r w:rsidRPr="00A56773">
        <w:rPr>
          <w:b/>
          <w:noProof/>
          <w:sz w:val="24"/>
          <w:szCs w:val="28"/>
        </w:rPr>
        <w:t xml:space="preserve"> – </w:t>
      </w:r>
      <w:r>
        <w:rPr>
          <w:b/>
          <w:noProof/>
          <w:sz w:val="24"/>
          <w:szCs w:val="28"/>
        </w:rPr>
        <w:t>30</w:t>
      </w:r>
      <w:r w:rsidRPr="00A56773">
        <w:rPr>
          <w:b/>
          <w:noProof/>
          <w:sz w:val="24"/>
          <w:szCs w:val="28"/>
          <w:vertAlign w:val="superscript"/>
        </w:rPr>
        <w:t>th</w:t>
      </w:r>
      <w:r w:rsidRPr="00A56773">
        <w:rPr>
          <w:b/>
          <w:noProof/>
          <w:sz w:val="24"/>
          <w:szCs w:val="28"/>
        </w:rPr>
        <w:t xml:space="preserve"> 2019</w:t>
      </w:r>
    </w:p>
    <w:p w14:paraId="093CA840" w14:textId="77777777" w:rsidR="00FA5975" w:rsidRPr="00A56773" w:rsidRDefault="00FA5975" w:rsidP="00FA5975">
      <w:pPr>
        <w:pStyle w:val="CRCoverPage"/>
        <w:outlineLvl w:val="0"/>
        <w:rPr>
          <w:b/>
          <w:noProof/>
          <w:sz w:val="24"/>
          <w:szCs w:val="28"/>
        </w:rPr>
      </w:pPr>
    </w:p>
    <w:p w14:paraId="07723AA5" w14:textId="674C205D" w:rsidR="002922AE" w:rsidRPr="004C4917" w:rsidRDefault="002922AE" w:rsidP="002922AE">
      <w:pPr>
        <w:pStyle w:val="3GPPHeader"/>
        <w:rPr>
          <w:rFonts w:asciiTheme="minorHAnsi" w:hAnsiTheme="minorHAnsi" w:cstheme="minorHAnsi"/>
          <w:szCs w:val="22"/>
          <w:lang w:val="en-US"/>
        </w:rPr>
      </w:pPr>
      <w:r w:rsidRPr="004C4917">
        <w:rPr>
          <w:rFonts w:asciiTheme="minorHAnsi" w:hAnsiTheme="minorHAnsi" w:cstheme="minorHAnsi"/>
          <w:szCs w:val="22"/>
          <w:lang w:val="en-US"/>
        </w:rPr>
        <w:t>Agenda Item:</w:t>
      </w:r>
      <w:r w:rsidRPr="004C4917">
        <w:rPr>
          <w:rFonts w:asciiTheme="minorHAnsi" w:hAnsiTheme="minorHAnsi" w:cstheme="minorHAnsi"/>
          <w:szCs w:val="22"/>
          <w:lang w:val="en-US"/>
        </w:rPr>
        <w:tab/>
      </w:r>
      <w:r w:rsidR="00F755CA">
        <w:rPr>
          <w:rFonts w:asciiTheme="minorHAnsi" w:hAnsiTheme="minorHAnsi" w:cstheme="minorHAnsi"/>
          <w:szCs w:val="22"/>
          <w:lang w:val="en-US"/>
        </w:rPr>
        <w:t>13.2.4</w:t>
      </w:r>
    </w:p>
    <w:p w14:paraId="444090E0" w14:textId="77777777" w:rsidR="002922AE" w:rsidRPr="004C4917" w:rsidRDefault="002922AE" w:rsidP="002922AE">
      <w:pPr>
        <w:pStyle w:val="3GPPHeader"/>
        <w:rPr>
          <w:rFonts w:asciiTheme="minorHAnsi" w:hAnsiTheme="minorHAnsi" w:cstheme="minorHAnsi"/>
          <w:szCs w:val="22"/>
        </w:rPr>
      </w:pPr>
      <w:r w:rsidRPr="004C4917">
        <w:rPr>
          <w:rFonts w:asciiTheme="minorHAnsi" w:hAnsiTheme="minorHAnsi" w:cstheme="minorHAnsi"/>
          <w:szCs w:val="22"/>
        </w:rPr>
        <w:t>Source:</w:t>
      </w:r>
      <w:r w:rsidRPr="004C4917">
        <w:rPr>
          <w:rFonts w:asciiTheme="minorHAnsi" w:hAnsiTheme="minorHAnsi" w:cstheme="minorHAnsi"/>
          <w:szCs w:val="22"/>
        </w:rPr>
        <w:tab/>
        <w:t>Ericsson</w:t>
      </w:r>
    </w:p>
    <w:p w14:paraId="7C02BF68" w14:textId="5E536CDB" w:rsidR="002922AE" w:rsidRPr="004C4917" w:rsidRDefault="002922AE" w:rsidP="002922AE">
      <w:pPr>
        <w:pStyle w:val="3GPPHeader"/>
        <w:rPr>
          <w:rFonts w:asciiTheme="minorHAnsi" w:hAnsiTheme="minorHAnsi" w:cstheme="minorHAnsi"/>
          <w:szCs w:val="22"/>
        </w:rPr>
      </w:pPr>
      <w:r w:rsidRPr="004C4917">
        <w:rPr>
          <w:rFonts w:asciiTheme="minorHAnsi" w:hAnsiTheme="minorHAnsi" w:cstheme="minorHAnsi"/>
          <w:szCs w:val="22"/>
        </w:rPr>
        <w:t>Title:</w:t>
      </w:r>
      <w:r w:rsidRPr="004C4917">
        <w:rPr>
          <w:rFonts w:asciiTheme="minorHAnsi" w:hAnsiTheme="minorHAnsi" w:cstheme="minorHAnsi"/>
          <w:szCs w:val="22"/>
        </w:rPr>
        <w:tab/>
      </w:r>
      <w:r w:rsidR="0092222C" w:rsidRPr="004C4917">
        <w:rPr>
          <w:rFonts w:asciiTheme="minorHAnsi" w:hAnsiTheme="minorHAnsi" w:cstheme="minorHAnsi"/>
          <w:szCs w:val="22"/>
        </w:rPr>
        <w:t xml:space="preserve">CP </w:t>
      </w:r>
      <w:r w:rsidR="000A708D" w:rsidRPr="004C4917">
        <w:rPr>
          <w:rFonts w:asciiTheme="minorHAnsi" w:hAnsiTheme="minorHAnsi" w:cstheme="minorHAnsi"/>
          <w:szCs w:val="22"/>
        </w:rPr>
        <w:t>S</w:t>
      </w:r>
      <w:r w:rsidR="0092222C" w:rsidRPr="004C4917">
        <w:rPr>
          <w:rFonts w:asciiTheme="minorHAnsi" w:hAnsiTheme="minorHAnsi" w:cstheme="minorHAnsi"/>
          <w:szCs w:val="22"/>
        </w:rPr>
        <w:t xml:space="preserve">ignalling via LTE for NSA IAB </w:t>
      </w:r>
      <w:r w:rsidR="000A708D" w:rsidRPr="004C4917">
        <w:rPr>
          <w:rFonts w:asciiTheme="minorHAnsi" w:hAnsiTheme="minorHAnsi" w:cstheme="minorHAnsi"/>
          <w:szCs w:val="22"/>
        </w:rPr>
        <w:t>D</w:t>
      </w:r>
      <w:r w:rsidR="0092222C" w:rsidRPr="004C4917">
        <w:rPr>
          <w:rFonts w:asciiTheme="minorHAnsi" w:hAnsiTheme="minorHAnsi" w:cstheme="minorHAnsi"/>
          <w:szCs w:val="22"/>
        </w:rPr>
        <w:t>eployments</w:t>
      </w:r>
    </w:p>
    <w:p w14:paraId="1075F76A" w14:textId="4E1A870F" w:rsidR="002922AE" w:rsidRPr="004C4917" w:rsidRDefault="002922AE" w:rsidP="002922AE">
      <w:pPr>
        <w:pStyle w:val="3GPPHeader"/>
        <w:rPr>
          <w:rFonts w:asciiTheme="minorHAnsi" w:hAnsiTheme="minorHAnsi" w:cstheme="minorHAnsi"/>
          <w:szCs w:val="22"/>
        </w:rPr>
      </w:pPr>
      <w:r w:rsidRPr="004C4917">
        <w:rPr>
          <w:rFonts w:asciiTheme="minorHAnsi" w:hAnsiTheme="minorHAnsi" w:cstheme="minorHAnsi"/>
          <w:szCs w:val="22"/>
        </w:rPr>
        <w:t>Document for:</w:t>
      </w:r>
      <w:r w:rsidRPr="004C4917">
        <w:rPr>
          <w:rFonts w:asciiTheme="minorHAnsi" w:hAnsiTheme="minorHAnsi" w:cstheme="minorHAnsi"/>
          <w:szCs w:val="22"/>
        </w:rPr>
        <w:tab/>
      </w:r>
      <w:r w:rsidR="00F04E47" w:rsidRPr="004C4917">
        <w:rPr>
          <w:rFonts w:asciiTheme="minorHAnsi" w:hAnsiTheme="minorHAnsi" w:cstheme="minorHAnsi"/>
          <w:szCs w:val="22"/>
        </w:rPr>
        <w:t>Agreement</w:t>
      </w:r>
    </w:p>
    <w:p w14:paraId="76A9BC2F" w14:textId="77777777" w:rsidR="00C24345" w:rsidRPr="004C4917" w:rsidRDefault="00E90E49" w:rsidP="00A2052C">
      <w:pPr>
        <w:pStyle w:val="Heading1"/>
        <w:rPr>
          <w:rFonts w:asciiTheme="minorHAnsi" w:hAnsiTheme="minorHAnsi" w:cstheme="minorHAnsi"/>
        </w:rPr>
      </w:pPr>
      <w:r w:rsidRPr="004C4917">
        <w:rPr>
          <w:rFonts w:asciiTheme="minorHAnsi" w:hAnsiTheme="minorHAnsi" w:cstheme="minorHAnsi"/>
        </w:rPr>
        <w:t>Introduction</w:t>
      </w:r>
    </w:p>
    <w:p w14:paraId="69DB2148" w14:textId="57A07F70" w:rsidR="000D1084" w:rsidRPr="004C4917" w:rsidRDefault="005B261D" w:rsidP="006F1429">
      <w:pPr>
        <w:jc w:val="left"/>
        <w:rPr>
          <w:rFonts w:asciiTheme="minorHAnsi" w:hAnsiTheme="minorHAnsi" w:cstheme="minorHAnsi"/>
          <w:sz w:val="22"/>
        </w:rPr>
      </w:pPr>
      <w:r w:rsidRPr="004C4917">
        <w:rPr>
          <w:rFonts w:asciiTheme="minorHAnsi" w:hAnsiTheme="minorHAnsi" w:cstheme="minorHAnsi"/>
          <w:sz w:val="22"/>
        </w:rPr>
        <w:t xml:space="preserve">At the </w:t>
      </w:r>
      <w:r w:rsidR="00024038">
        <w:rPr>
          <w:rFonts w:asciiTheme="minorHAnsi" w:hAnsiTheme="minorHAnsi" w:cstheme="minorHAnsi"/>
          <w:sz w:val="22"/>
        </w:rPr>
        <w:t>RAN2#106</w:t>
      </w:r>
      <w:r w:rsidRPr="004C4917">
        <w:rPr>
          <w:rFonts w:asciiTheme="minorHAnsi" w:hAnsiTheme="minorHAnsi" w:cstheme="minorHAnsi"/>
          <w:sz w:val="22"/>
        </w:rPr>
        <w:t xml:space="preserve"> meeting</w:t>
      </w:r>
      <w:r w:rsidR="00024038">
        <w:rPr>
          <w:rFonts w:asciiTheme="minorHAnsi" w:hAnsiTheme="minorHAnsi" w:cstheme="minorHAnsi"/>
          <w:sz w:val="22"/>
        </w:rPr>
        <w:t>,</w:t>
      </w:r>
      <w:r w:rsidRPr="004C4917">
        <w:rPr>
          <w:rFonts w:asciiTheme="minorHAnsi" w:hAnsiTheme="minorHAnsi" w:cstheme="minorHAnsi"/>
          <w:sz w:val="22"/>
        </w:rPr>
        <w:t xml:space="preserve"> </w:t>
      </w:r>
      <w:r w:rsidR="00B94145" w:rsidRPr="004C4917">
        <w:rPr>
          <w:rFonts w:asciiTheme="minorHAnsi" w:hAnsiTheme="minorHAnsi" w:cstheme="minorHAnsi"/>
          <w:sz w:val="22"/>
        </w:rPr>
        <w:t>several</w:t>
      </w:r>
      <w:r w:rsidRPr="004C4917">
        <w:rPr>
          <w:rFonts w:asciiTheme="minorHAnsi" w:hAnsiTheme="minorHAnsi" w:cstheme="minorHAnsi"/>
          <w:sz w:val="22"/>
        </w:rPr>
        <w:t xml:space="preserve"> </w:t>
      </w:r>
      <w:r w:rsidR="009D5873" w:rsidRPr="004C4917">
        <w:rPr>
          <w:rFonts w:asciiTheme="minorHAnsi" w:hAnsiTheme="minorHAnsi" w:cstheme="minorHAnsi"/>
          <w:sz w:val="22"/>
        </w:rPr>
        <w:t>contributions</w:t>
      </w:r>
      <w:r w:rsidRPr="004C4917">
        <w:rPr>
          <w:rFonts w:asciiTheme="minorHAnsi" w:hAnsiTheme="minorHAnsi" w:cstheme="minorHAnsi"/>
          <w:sz w:val="22"/>
        </w:rPr>
        <w:t xml:space="preserve"> discussed the topic of supporting IAB related signalling via LTE MCG leg for NSA deployments [1-</w:t>
      </w:r>
      <w:r w:rsidR="000D1084" w:rsidRPr="004C4917">
        <w:rPr>
          <w:rFonts w:asciiTheme="minorHAnsi" w:hAnsiTheme="minorHAnsi" w:cstheme="minorHAnsi"/>
          <w:sz w:val="22"/>
        </w:rPr>
        <w:t>4]</w:t>
      </w:r>
      <w:r w:rsidRPr="004C4917">
        <w:rPr>
          <w:rFonts w:asciiTheme="minorHAnsi" w:hAnsiTheme="minorHAnsi" w:cstheme="minorHAnsi"/>
          <w:sz w:val="22"/>
        </w:rPr>
        <w:t>.</w:t>
      </w:r>
      <w:r w:rsidR="001B18A9" w:rsidRPr="004C4917">
        <w:rPr>
          <w:rFonts w:asciiTheme="minorHAnsi" w:hAnsiTheme="minorHAnsi" w:cstheme="minorHAnsi"/>
          <w:sz w:val="22"/>
        </w:rPr>
        <w:t xml:space="preserve"> In </w:t>
      </w:r>
      <w:r w:rsidR="0011050D" w:rsidRPr="004C4917">
        <w:rPr>
          <w:rFonts w:asciiTheme="minorHAnsi" w:hAnsiTheme="minorHAnsi" w:cstheme="minorHAnsi"/>
          <w:sz w:val="22"/>
        </w:rPr>
        <w:t>general,</w:t>
      </w:r>
      <w:r w:rsidR="001B18A9" w:rsidRPr="004C4917">
        <w:rPr>
          <w:rFonts w:asciiTheme="minorHAnsi" w:hAnsiTheme="minorHAnsi" w:cstheme="minorHAnsi"/>
          <w:sz w:val="22"/>
        </w:rPr>
        <w:t xml:space="preserve"> the</w:t>
      </w:r>
      <w:r w:rsidR="00232D70" w:rsidRPr="004C4917">
        <w:rPr>
          <w:rFonts w:asciiTheme="minorHAnsi" w:hAnsiTheme="minorHAnsi" w:cstheme="minorHAnsi"/>
          <w:sz w:val="22"/>
        </w:rPr>
        <w:t xml:space="preserve"> following </w:t>
      </w:r>
      <w:r w:rsidR="00EE3B63" w:rsidRPr="004C4917">
        <w:rPr>
          <w:rFonts w:asciiTheme="minorHAnsi" w:hAnsiTheme="minorHAnsi" w:cstheme="minorHAnsi"/>
          <w:sz w:val="22"/>
        </w:rPr>
        <w:t xml:space="preserve">IAB related </w:t>
      </w:r>
      <w:r w:rsidR="00232D70" w:rsidRPr="004C4917">
        <w:rPr>
          <w:rFonts w:asciiTheme="minorHAnsi" w:hAnsiTheme="minorHAnsi" w:cstheme="minorHAnsi"/>
          <w:sz w:val="22"/>
        </w:rPr>
        <w:t>signalling can be considered:</w:t>
      </w:r>
    </w:p>
    <w:p w14:paraId="0057106A" w14:textId="19F439B9" w:rsidR="00232D70" w:rsidRPr="004C4917" w:rsidRDefault="00232D70" w:rsidP="00232D70">
      <w:pPr>
        <w:pStyle w:val="ListParagraph"/>
        <w:numPr>
          <w:ilvl w:val="0"/>
          <w:numId w:val="30"/>
        </w:numPr>
        <w:jc w:val="left"/>
        <w:rPr>
          <w:rFonts w:asciiTheme="minorHAnsi" w:hAnsiTheme="minorHAnsi" w:cstheme="minorHAnsi"/>
          <w:sz w:val="22"/>
        </w:rPr>
      </w:pPr>
      <w:r w:rsidRPr="004C4917">
        <w:rPr>
          <w:rFonts w:asciiTheme="minorHAnsi" w:hAnsiTheme="minorHAnsi" w:cstheme="minorHAnsi"/>
          <w:sz w:val="22"/>
        </w:rPr>
        <w:t>IAB-MT</w:t>
      </w:r>
      <w:r w:rsidR="0046531F">
        <w:rPr>
          <w:rFonts w:asciiTheme="minorHAnsi" w:hAnsiTheme="minorHAnsi" w:cstheme="minorHAnsi"/>
          <w:sz w:val="22"/>
        </w:rPr>
        <w:t>’</w:t>
      </w:r>
      <w:r w:rsidRPr="004C4917">
        <w:rPr>
          <w:rFonts w:asciiTheme="minorHAnsi" w:hAnsiTheme="minorHAnsi" w:cstheme="minorHAnsi"/>
          <w:sz w:val="22"/>
        </w:rPr>
        <w:t>s own RRC signalling (e.g. used for BH RLC channel management)</w:t>
      </w:r>
      <w:r w:rsidR="00024038">
        <w:rPr>
          <w:rFonts w:asciiTheme="minorHAnsi" w:hAnsiTheme="minorHAnsi" w:cstheme="minorHAnsi"/>
          <w:sz w:val="22"/>
        </w:rPr>
        <w:t>,</w:t>
      </w:r>
    </w:p>
    <w:p w14:paraId="1908DB3A" w14:textId="2F8BDD27" w:rsidR="00232D70" w:rsidRPr="004C4917" w:rsidRDefault="00232D70" w:rsidP="00232D70">
      <w:pPr>
        <w:pStyle w:val="ListParagraph"/>
        <w:numPr>
          <w:ilvl w:val="0"/>
          <w:numId w:val="30"/>
        </w:numPr>
        <w:jc w:val="left"/>
        <w:rPr>
          <w:rFonts w:asciiTheme="minorHAnsi" w:hAnsiTheme="minorHAnsi" w:cstheme="minorHAnsi"/>
          <w:sz w:val="22"/>
        </w:rPr>
      </w:pPr>
      <w:r w:rsidRPr="004C4917">
        <w:rPr>
          <w:rFonts w:asciiTheme="minorHAnsi" w:hAnsiTheme="minorHAnsi" w:cstheme="minorHAnsi"/>
          <w:sz w:val="22"/>
        </w:rPr>
        <w:t>IAB-MT</w:t>
      </w:r>
      <w:r w:rsidR="0046531F">
        <w:rPr>
          <w:rFonts w:asciiTheme="minorHAnsi" w:hAnsiTheme="minorHAnsi" w:cstheme="minorHAnsi"/>
          <w:sz w:val="22"/>
        </w:rPr>
        <w:t>’</w:t>
      </w:r>
      <w:r w:rsidRPr="004C4917">
        <w:rPr>
          <w:rFonts w:asciiTheme="minorHAnsi" w:hAnsiTheme="minorHAnsi" w:cstheme="minorHAnsi"/>
          <w:sz w:val="22"/>
        </w:rPr>
        <w:t>s own PDN Connections (e.g. used for OAM signalling)</w:t>
      </w:r>
      <w:r w:rsidR="00024038">
        <w:rPr>
          <w:rFonts w:asciiTheme="minorHAnsi" w:hAnsiTheme="minorHAnsi" w:cstheme="minorHAnsi"/>
          <w:sz w:val="22"/>
        </w:rPr>
        <w:t>,</w:t>
      </w:r>
    </w:p>
    <w:p w14:paraId="15387DDD" w14:textId="72B4650A" w:rsidR="00232D70" w:rsidRPr="004C4917" w:rsidRDefault="00232D70" w:rsidP="00232D70">
      <w:pPr>
        <w:pStyle w:val="ListParagraph"/>
        <w:numPr>
          <w:ilvl w:val="0"/>
          <w:numId w:val="30"/>
        </w:numPr>
        <w:jc w:val="left"/>
        <w:rPr>
          <w:rFonts w:asciiTheme="minorHAnsi" w:hAnsiTheme="minorHAnsi" w:cstheme="minorHAnsi"/>
          <w:sz w:val="22"/>
        </w:rPr>
      </w:pPr>
      <w:r w:rsidRPr="004C4917">
        <w:rPr>
          <w:rFonts w:asciiTheme="minorHAnsi" w:hAnsiTheme="minorHAnsi" w:cstheme="minorHAnsi"/>
          <w:sz w:val="22"/>
        </w:rPr>
        <w:t>IAB-DU</w:t>
      </w:r>
      <w:r w:rsidR="0046531F">
        <w:rPr>
          <w:rFonts w:asciiTheme="minorHAnsi" w:hAnsiTheme="minorHAnsi" w:cstheme="minorHAnsi"/>
          <w:sz w:val="22"/>
        </w:rPr>
        <w:t>’</w:t>
      </w:r>
      <w:r w:rsidRPr="004C4917">
        <w:rPr>
          <w:rFonts w:asciiTheme="minorHAnsi" w:hAnsiTheme="minorHAnsi" w:cstheme="minorHAnsi"/>
          <w:sz w:val="22"/>
        </w:rPr>
        <w:t xml:space="preserve">s </w:t>
      </w:r>
      <w:r w:rsidR="00136CE5" w:rsidRPr="004C4917">
        <w:rPr>
          <w:rFonts w:asciiTheme="minorHAnsi" w:hAnsiTheme="minorHAnsi" w:cstheme="minorHAnsi"/>
          <w:sz w:val="22"/>
        </w:rPr>
        <w:t>F1-AP connection</w:t>
      </w:r>
      <w:r w:rsidR="00024038">
        <w:rPr>
          <w:rFonts w:asciiTheme="minorHAnsi" w:hAnsiTheme="minorHAnsi" w:cstheme="minorHAnsi"/>
          <w:sz w:val="22"/>
        </w:rPr>
        <w:t>.</w:t>
      </w:r>
    </w:p>
    <w:p w14:paraId="6864DBDC" w14:textId="49573F94" w:rsidR="00136CE5" w:rsidRPr="004C4917" w:rsidRDefault="00136CE5" w:rsidP="00136CE5">
      <w:pPr>
        <w:jc w:val="left"/>
        <w:rPr>
          <w:rFonts w:asciiTheme="minorHAnsi" w:hAnsiTheme="minorHAnsi" w:cstheme="minorHAnsi"/>
          <w:sz w:val="22"/>
        </w:rPr>
      </w:pPr>
      <w:r w:rsidRPr="004C4917">
        <w:rPr>
          <w:rFonts w:asciiTheme="minorHAnsi" w:hAnsiTheme="minorHAnsi" w:cstheme="minorHAnsi"/>
          <w:sz w:val="22"/>
        </w:rPr>
        <w:t>In addition to this</w:t>
      </w:r>
      <w:r w:rsidR="00024038">
        <w:rPr>
          <w:rFonts w:asciiTheme="minorHAnsi" w:hAnsiTheme="minorHAnsi" w:cstheme="minorHAnsi"/>
          <w:sz w:val="22"/>
        </w:rPr>
        <w:t>,</w:t>
      </w:r>
      <w:r w:rsidRPr="004C4917">
        <w:rPr>
          <w:rFonts w:asciiTheme="minorHAnsi" w:hAnsiTheme="minorHAnsi" w:cstheme="minorHAnsi"/>
          <w:sz w:val="22"/>
        </w:rPr>
        <w:t xml:space="preserve"> the IAB node will also support F1-U data</w:t>
      </w:r>
      <w:r w:rsidR="0046531F">
        <w:rPr>
          <w:rFonts w:asciiTheme="minorHAnsi" w:hAnsiTheme="minorHAnsi" w:cstheme="minorHAnsi"/>
          <w:sz w:val="22"/>
        </w:rPr>
        <w:t>,</w:t>
      </w:r>
      <w:r w:rsidRPr="004C4917">
        <w:rPr>
          <w:rFonts w:asciiTheme="minorHAnsi" w:hAnsiTheme="minorHAnsi" w:cstheme="minorHAnsi"/>
          <w:sz w:val="22"/>
        </w:rPr>
        <w:t xml:space="preserve"> but for that it has already been agreed that only the NR leg should be used. </w:t>
      </w:r>
    </w:p>
    <w:p w14:paraId="22B754D8" w14:textId="6FB3D819" w:rsidR="0011050D" w:rsidRPr="004C4917" w:rsidRDefault="0011050D" w:rsidP="00136CE5">
      <w:pPr>
        <w:jc w:val="left"/>
        <w:rPr>
          <w:rFonts w:asciiTheme="minorHAnsi" w:hAnsiTheme="minorHAnsi" w:cstheme="minorHAnsi"/>
          <w:sz w:val="22"/>
        </w:rPr>
      </w:pPr>
      <w:r w:rsidRPr="004C4917">
        <w:rPr>
          <w:rFonts w:asciiTheme="minorHAnsi" w:hAnsiTheme="minorHAnsi" w:cstheme="minorHAnsi"/>
          <w:sz w:val="22"/>
        </w:rPr>
        <w:t xml:space="preserve">This paper analyses the feasibility / usefulness of supporting </w:t>
      </w:r>
      <w:r w:rsidR="00AA6C64" w:rsidRPr="004C4917">
        <w:rPr>
          <w:rFonts w:asciiTheme="minorHAnsi" w:hAnsiTheme="minorHAnsi" w:cstheme="minorHAnsi"/>
          <w:sz w:val="22"/>
        </w:rPr>
        <w:t>the different signalling over</w:t>
      </w:r>
      <w:r w:rsidR="0046531F">
        <w:rPr>
          <w:rFonts w:asciiTheme="minorHAnsi" w:hAnsiTheme="minorHAnsi" w:cstheme="minorHAnsi"/>
          <w:sz w:val="22"/>
        </w:rPr>
        <w:t xml:space="preserve"> the</w:t>
      </w:r>
      <w:r w:rsidR="00AA6C64" w:rsidRPr="004C4917">
        <w:rPr>
          <w:rFonts w:asciiTheme="minorHAnsi" w:hAnsiTheme="minorHAnsi" w:cstheme="minorHAnsi"/>
          <w:sz w:val="22"/>
        </w:rPr>
        <w:t xml:space="preserve"> LTE MCG leg. </w:t>
      </w:r>
    </w:p>
    <w:p w14:paraId="5B57F5A0" w14:textId="79126B25" w:rsidR="00AA6C64" w:rsidRPr="004C4917" w:rsidRDefault="00AA6C64" w:rsidP="00AA6C64">
      <w:pPr>
        <w:pStyle w:val="Heading1"/>
        <w:rPr>
          <w:rFonts w:asciiTheme="minorHAnsi" w:hAnsiTheme="minorHAnsi" w:cstheme="minorHAnsi"/>
        </w:rPr>
      </w:pPr>
      <w:r w:rsidRPr="004C4917">
        <w:rPr>
          <w:rFonts w:asciiTheme="minorHAnsi" w:hAnsiTheme="minorHAnsi" w:cstheme="minorHAnsi"/>
        </w:rPr>
        <w:t xml:space="preserve">Discussion </w:t>
      </w:r>
    </w:p>
    <w:p w14:paraId="75FC5003" w14:textId="3EA97EB4" w:rsidR="00AA6C64" w:rsidRPr="0046531F" w:rsidRDefault="00AA6C64" w:rsidP="008D09A8">
      <w:pPr>
        <w:pStyle w:val="Heading2"/>
        <w:tabs>
          <w:tab w:val="clear" w:pos="1710"/>
          <w:tab w:val="num" w:pos="709"/>
        </w:tabs>
        <w:ind w:hanging="1710"/>
        <w:rPr>
          <w:rFonts w:ascii="Calibri" w:hAnsi="Calibri" w:cs="Calibri"/>
          <w:sz w:val="28"/>
        </w:rPr>
      </w:pPr>
      <w:r w:rsidRPr="0046531F">
        <w:rPr>
          <w:rFonts w:ascii="Calibri" w:hAnsi="Calibri" w:cs="Calibri"/>
          <w:sz w:val="28"/>
        </w:rPr>
        <w:t>IAB-MT</w:t>
      </w:r>
      <w:r w:rsidR="000D6AF6">
        <w:rPr>
          <w:rFonts w:ascii="Calibri" w:hAnsi="Calibri" w:cs="Calibri"/>
          <w:sz w:val="28"/>
        </w:rPr>
        <w:t>’</w:t>
      </w:r>
      <w:r w:rsidRPr="0046531F">
        <w:rPr>
          <w:rFonts w:ascii="Calibri" w:hAnsi="Calibri" w:cs="Calibri"/>
          <w:sz w:val="28"/>
        </w:rPr>
        <w:t>s own RRC signalling</w:t>
      </w:r>
    </w:p>
    <w:p w14:paraId="55DD3AFB" w14:textId="5E5C97A4" w:rsidR="00AA6C64" w:rsidRPr="004C4917" w:rsidRDefault="00AA6C64" w:rsidP="008D09A8">
      <w:pPr>
        <w:jc w:val="left"/>
        <w:rPr>
          <w:rFonts w:ascii="Calibri" w:hAnsi="Calibri" w:cs="Calibri"/>
          <w:sz w:val="22"/>
        </w:rPr>
      </w:pPr>
      <w:r w:rsidRPr="004C4917">
        <w:rPr>
          <w:rFonts w:ascii="Calibri" w:hAnsi="Calibri" w:cs="Calibri"/>
          <w:sz w:val="22"/>
        </w:rPr>
        <w:t>In our view</w:t>
      </w:r>
      <w:r w:rsidR="00026E57">
        <w:rPr>
          <w:rFonts w:ascii="Calibri" w:hAnsi="Calibri" w:cs="Calibri"/>
          <w:sz w:val="22"/>
        </w:rPr>
        <w:t>,</w:t>
      </w:r>
      <w:r w:rsidRPr="004C4917">
        <w:rPr>
          <w:rFonts w:ascii="Calibri" w:hAnsi="Calibri" w:cs="Calibri"/>
          <w:sz w:val="22"/>
        </w:rPr>
        <w:t xml:space="preserve"> all IAB</w:t>
      </w:r>
      <w:r w:rsidR="00026E57">
        <w:rPr>
          <w:rFonts w:ascii="Calibri" w:hAnsi="Calibri" w:cs="Calibri"/>
          <w:sz w:val="22"/>
        </w:rPr>
        <w:t>-</w:t>
      </w:r>
      <w:r w:rsidRPr="004C4917">
        <w:rPr>
          <w:rFonts w:ascii="Calibri" w:hAnsi="Calibri" w:cs="Calibri"/>
          <w:sz w:val="22"/>
        </w:rPr>
        <w:t xml:space="preserve">related RRC signalling </w:t>
      </w:r>
      <w:r w:rsidR="00B27F39" w:rsidRPr="004C4917">
        <w:rPr>
          <w:rFonts w:ascii="Calibri" w:hAnsi="Calibri" w:cs="Calibri"/>
          <w:sz w:val="22"/>
        </w:rPr>
        <w:t>(such as BH RLC channel setup</w:t>
      </w:r>
      <w:r w:rsidR="002C4206" w:rsidRPr="004C4917">
        <w:rPr>
          <w:rFonts w:ascii="Calibri" w:hAnsi="Calibri" w:cs="Calibri"/>
          <w:sz w:val="22"/>
        </w:rPr>
        <w:t>/modification/release</w:t>
      </w:r>
      <w:r w:rsidR="00B27F39" w:rsidRPr="004C4917">
        <w:rPr>
          <w:rFonts w:ascii="Calibri" w:hAnsi="Calibri" w:cs="Calibri"/>
          <w:sz w:val="22"/>
        </w:rPr>
        <w:t xml:space="preserve">) </w:t>
      </w:r>
      <w:r w:rsidRPr="004C4917">
        <w:rPr>
          <w:rFonts w:ascii="Calibri" w:hAnsi="Calibri" w:cs="Calibri"/>
          <w:sz w:val="22"/>
        </w:rPr>
        <w:t xml:space="preserve">should be carried as part of the </w:t>
      </w:r>
      <w:r w:rsidR="00C16602" w:rsidRPr="004C4917">
        <w:rPr>
          <w:rFonts w:ascii="Calibri" w:hAnsi="Calibri" w:cs="Calibri"/>
          <w:sz w:val="22"/>
        </w:rPr>
        <w:t xml:space="preserve">NR </w:t>
      </w:r>
      <w:r w:rsidRPr="004C4917">
        <w:rPr>
          <w:rFonts w:ascii="Calibri" w:hAnsi="Calibri" w:cs="Calibri"/>
          <w:sz w:val="22"/>
        </w:rPr>
        <w:t xml:space="preserve">Cell Group configuration, </w:t>
      </w:r>
      <w:r w:rsidR="00B27F39" w:rsidRPr="004C4917">
        <w:rPr>
          <w:rFonts w:ascii="Calibri" w:hAnsi="Calibri" w:cs="Calibri"/>
          <w:sz w:val="22"/>
        </w:rPr>
        <w:t>as such it is trivial to support MT</w:t>
      </w:r>
      <w:r w:rsidR="000D6AF6">
        <w:rPr>
          <w:rFonts w:ascii="Calibri" w:hAnsi="Calibri" w:cs="Calibri"/>
          <w:sz w:val="22"/>
        </w:rPr>
        <w:t>’</w:t>
      </w:r>
      <w:r w:rsidR="00B27F39" w:rsidRPr="004C4917">
        <w:rPr>
          <w:rFonts w:ascii="Calibri" w:hAnsi="Calibri" w:cs="Calibri"/>
          <w:sz w:val="22"/>
        </w:rPr>
        <w:t>s own RRC signalling over LTE</w:t>
      </w:r>
      <w:r w:rsidR="003D5803">
        <w:rPr>
          <w:rFonts w:ascii="Calibri" w:hAnsi="Calibri" w:cs="Calibri"/>
          <w:sz w:val="22"/>
        </w:rPr>
        <w:t>,</w:t>
      </w:r>
      <w:r w:rsidR="00B27F39" w:rsidRPr="004C4917">
        <w:rPr>
          <w:rFonts w:ascii="Calibri" w:hAnsi="Calibri" w:cs="Calibri"/>
          <w:sz w:val="22"/>
        </w:rPr>
        <w:t xml:space="preserve"> since </w:t>
      </w:r>
      <w:r w:rsidR="00456B11" w:rsidRPr="004C4917">
        <w:rPr>
          <w:rFonts w:ascii="Calibri" w:hAnsi="Calibri" w:cs="Calibri"/>
          <w:sz w:val="22"/>
        </w:rPr>
        <w:t xml:space="preserve">the NR SCG configuration is already transferred </w:t>
      </w:r>
      <w:r w:rsidR="002C4206" w:rsidRPr="004C4917">
        <w:rPr>
          <w:rFonts w:ascii="Calibri" w:hAnsi="Calibri" w:cs="Calibri"/>
          <w:sz w:val="22"/>
        </w:rPr>
        <w:t xml:space="preserve">transparently </w:t>
      </w:r>
      <w:r w:rsidR="00456B11" w:rsidRPr="004C4917">
        <w:rPr>
          <w:rFonts w:ascii="Calibri" w:hAnsi="Calibri" w:cs="Calibri"/>
          <w:sz w:val="22"/>
        </w:rPr>
        <w:t>over LTE SRBs for EN-DC.</w:t>
      </w:r>
    </w:p>
    <w:p w14:paraId="2D299211" w14:textId="155B1988" w:rsidR="00BC2D97" w:rsidRPr="004C4917" w:rsidRDefault="00646978" w:rsidP="008D09A8">
      <w:pPr>
        <w:pStyle w:val="Proposal"/>
        <w:jc w:val="left"/>
        <w:rPr>
          <w:rFonts w:ascii="Calibri" w:hAnsi="Calibri" w:cs="Calibri"/>
          <w:sz w:val="22"/>
        </w:rPr>
      </w:pPr>
      <w:bookmarkStart w:id="0" w:name="_Toc16066769"/>
      <w:bookmarkStart w:id="1" w:name="_Toc16597210"/>
      <w:bookmarkStart w:id="2" w:name="_Toc16757724"/>
      <w:bookmarkStart w:id="3" w:name="_Toc16787442"/>
      <w:r w:rsidRPr="004C4917">
        <w:rPr>
          <w:rFonts w:ascii="Calibri" w:hAnsi="Calibri" w:cs="Calibri"/>
          <w:sz w:val="22"/>
        </w:rPr>
        <w:t>IAB-MT</w:t>
      </w:r>
      <w:r w:rsidR="00CD3270">
        <w:rPr>
          <w:rFonts w:ascii="Calibri" w:hAnsi="Calibri" w:cs="Calibri"/>
          <w:sz w:val="22"/>
        </w:rPr>
        <w:t>-</w:t>
      </w:r>
      <w:r w:rsidRPr="004C4917">
        <w:rPr>
          <w:rFonts w:ascii="Calibri" w:hAnsi="Calibri" w:cs="Calibri"/>
          <w:sz w:val="22"/>
        </w:rPr>
        <w:t xml:space="preserve">related RRC signalling should be supported via LTE leg </w:t>
      </w:r>
      <w:r w:rsidR="00AE4F74" w:rsidRPr="004C4917">
        <w:rPr>
          <w:rFonts w:ascii="Calibri" w:hAnsi="Calibri" w:cs="Calibri"/>
          <w:sz w:val="22"/>
        </w:rPr>
        <w:t xml:space="preserve">(SRB1/2) </w:t>
      </w:r>
      <w:r w:rsidRPr="004C4917">
        <w:rPr>
          <w:rFonts w:ascii="Calibri" w:hAnsi="Calibri" w:cs="Calibri"/>
          <w:sz w:val="22"/>
        </w:rPr>
        <w:t xml:space="preserve">reusing existing </w:t>
      </w:r>
      <w:r w:rsidR="002A7462" w:rsidRPr="004C4917">
        <w:rPr>
          <w:rFonts w:ascii="Calibri" w:hAnsi="Calibri" w:cs="Calibri"/>
          <w:sz w:val="22"/>
        </w:rPr>
        <w:t xml:space="preserve">mechanism </w:t>
      </w:r>
      <w:r w:rsidR="004C39CF" w:rsidRPr="004C4917">
        <w:rPr>
          <w:rFonts w:ascii="Calibri" w:hAnsi="Calibri" w:cs="Calibri"/>
          <w:sz w:val="22"/>
        </w:rPr>
        <w:t xml:space="preserve">for handling other NR </w:t>
      </w:r>
      <w:r w:rsidR="00D318BF" w:rsidRPr="004C4917">
        <w:rPr>
          <w:rFonts w:ascii="Calibri" w:hAnsi="Calibri" w:cs="Calibri"/>
          <w:sz w:val="22"/>
        </w:rPr>
        <w:t xml:space="preserve">RRC </w:t>
      </w:r>
      <w:r w:rsidR="004C39CF" w:rsidRPr="004C4917">
        <w:rPr>
          <w:rFonts w:ascii="Calibri" w:hAnsi="Calibri" w:cs="Calibri"/>
          <w:sz w:val="22"/>
        </w:rPr>
        <w:t>Cell Group</w:t>
      </w:r>
      <w:r w:rsidR="000D6AF6">
        <w:rPr>
          <w:rFonts w:ascii="Calibri" w:hAnsi="Calibri" w:cs="Calibri"/>
          <w:sz w:val="22"/>
        </w:rPr>
        <w:t>-</w:t>
      </w:r>
      <w:r w:rsidR="004C39CF" w:rsidRPr="004C4917">
        <w:rPr>
          <w:rFonts w:ascii="Calibri" w:hAnsi="Calibri" w:cs="Calibri"/>
          <w:sz w:val="22"/>
        </w:rPr>
        <w:t>related signalling.</w:t>
      </w:r>
      <w:bookmarkEnd w:id="0"/>
      <w:bookmarkEnd w:id="1"/>
      <w:bookmarkEnd w:id="2"/>
      <w:bookmarkEnd w:id="3"/>
    </w:p>
    <w:p w14:paraId="46CD8832" w14:textId="6D4C7FFB" w:rsidR="00946D7D" w:rsidRPr="0046531F" w:rsidRDefault="00946D7D" w:rsidP="008D09A8">
      <w:pPr>
        <w:pStyle w:val="Heading2"/>
        <w:tabs>
          <w:tab w:val="clear" w:pos="1710"/>
          <w:tab w:val="num" w:pos="567"/>
        </w:tabs>
        <w:ind w:hanging="1710"/>
        <w:rPr>
          <w:rFonts w:ascii="Calibri" w:hAnsi="Calibri" w:cs="Calibri"/>
          <w:sz w:val="28"/>
        </w:rPr>
      </w:pPr>
      <w:r w:rsidRPr="0046531F">
        <w:rPr>
          <w:rFonts w:ascii="Calibri" w:hAnsi="Calibri" w:cs="Calibri"/>
          <w:sz w:val="28"/>
        </w:rPr>
        <w:t>IAB-MT</w:t>
      </w:r>
      <w:r w:rsidR="000D6AF6">
        <w:rPr>
          <w:rFonts w:ascii="Calibri" w:hAnsi="Calibri" w:cs="Calibri"/>
          <w:sz w:val="28"/>
        </w:rPr>
        <w:t>’</w:t>
      </w:r>
      <w:r w:rsidRPr="0046531F">
        <w:rPr>
          <w:rFonts w:ascii="Calibri" w:hAnsi="Calibri" w:cs="Calibri"/>
          <w:sz w:val="28"/>
        </w:rPr>
        <w:t>s own PDN connections</w:t>
      </w:r>
    </w:p>
    <w:p w14:paraId="2D5C1BBD" w14:textId="74DCE7BD" w:rsidR="00533D70" w:rsidRPr="004C4917" w:rsidRDefault="00642776" w:rsidP="008D09A8">
      <w:pPr>
        <w:jc w:val="left"/>
        <w:rPr>
          <w:rFonts w:ascii="Calibri" w:hAnsi="Calibri" w:cs="Calibri"/>
          <w:sz w:val="22"/>
        </w:rPr>
      </w:pPr>
      <w:r w:rsidRPr="004C4917">
        <w:rPr>
          <w:rFonts w:ascii="Calibri" w:hAnsi="Calibri" w:cs="Calibri"/>
          <w:sz w:val="22"/>
        </w:rPr>
        <w:t>Given that EN-DC already support</w:t>
      </w:r>
      <w:r w:rsidR="00141D6A">
        <w:rPr>
          <w:rFonts w:ascii="Calibri" w:hAnsi="Calibri" w:cs="Calibri"/>
          <w:sz w:val="22"/>
        </w:rPr>
        <w:t>s</w:t>
      </w:r>
      <w:r w:rsidRPr="004C4917">
        <w:rPr>
          <w:rFonts w:ascii="Calibri" w:hAnsi="Calibri" w:cs="Calibri"/>
          <w:sz w:val="22"/>
        </w:rPr>
        <w:t xml:space="preserve"> the setup of PDN connections / EPS bearers etc. both </w:t>
      </w:r>
      <w:r w:rsidR="00693728" w:rsidRPr="004C4917">
        <w:rPr>
          <w:rFonts w:ascii="Calibri" w:hAnsi="Calibri" w:cs="Calibri"/>
          <w:sz w:val="22"/>
        </w:rPr>
        <w:t xml:space="preserve">over MCG and </w:t>
      </w:r>
      <w:r w:rsidR="00533D70" w:rsidRPr="004C4917">
        <w:rPr>
          <w:rFonts w:ascii="Calibri" w:hAnsi="Calibri" w:cs="Calibri"/>
          <w:sz w:val="22"/>
        </w:rPr>
        <w:t>SCG leg</w:t>
      </w:r>
      <w:r w:rsidR="00693728" w:rsidRPr="004C4917">
        <w:rPr>
          <w:rFonts w:ascii="Calibri" w:hAnsi="Calibri" w:cs="Calibri"/>
          <w:sz w:val="22"/>
        </w:rPr>
        <w:t xml:space="preserve"> it</w:t>
      </w:r>
      <w:r w:rsidR="00141D6A">
        <w:rPr>
          <w:rFonts w:ascii="Calibri" w:hAnsi="Calibri" w:cs="Calibri"/>
          <w:sz w:val="22"/>
        </w:rPr>
        <w:t>,</w:t>
      </w:r>
      <w:r w:rsidR="00693728" w:rsidRPr="004C4917">
        <w:rPr>
          <w:rFonts w:ascii="Calibri" w:hAnsi="Calibri" w:cs="Calibri"/>
          <w:sz w:val="22"/>
        </w:rPr>
        <w:t xml:space="preserve"> should be possible </w:t>
      </w:r>
      <w:r w:rsidR="003D7CE5" w:rsidRPr="004C4917">
        <w:rPr>
          <w:rFonts w:ascii="Calibri" w:hAnsi="Calibri" w:cs="Calibri"/>
          <w:sz w:val="22"/>
        </w:rPr>
        <w:t>to support OAM signalling via LTE leg</w:t>
      </w:r>
      <w:r w:rsidR="00141D6A">
        <w:rPr>
          <w:rFonts w:ascii="Calibri" w:hAnsi="Calibri" w:cs="Calibri"/>
          <w:sz w:val="22"/>
        </w:rPr>
        <w:t>,</w:t>
      </w:r>
      <w:r w:rsidR="003D7CE5" w:rsidRPr="004C4917">
        <w:rPr>
          <w:rFonts w:ascii="Calibri" w:hAnsi="Calibri" w:cs="Calibri"/>
          <w:sz w:val="22"/>
        </w:rPr>
        <w:t xml:space="preserve"> if desired. </w:t>
      </w:r>
    </w:p>
    <w:p w14:paraId="0FA98483" w14:textId="5F941636" w:rsidR="00AF1C9B" w:rsidRPr="004C4917" w:rsidRDefault="00AF1C9B" w:rsidP="008D09A8">
      <w:pPr>
        <w:pStyle w:val="Proposal"/>
        <w:jc w:val="left"/>
        <w:rPr>
          <w:rFonts w:ascii="Calibri" w:hAnsi="Calibri" w:cs="Calibri"/>
          <w:sz w:val="22"/>
        </w:rPr>
      </w:pPr>
      <w:bookmarkStart w:id="4" w:name="_Toc16066770"/>
      <w:bookmarkStart w:id="5" w:name="_Toc16597211"/>
      <w:bookmarkStart w:id="6" w:name="_Toc16757725"/>
      <w:bookmarkStart w:id="7" w:name="_Toc16787443"/>
      <w:r w:rsidRPr="004C4917">
        <w:rPr>
          <w:rFonts w:ascii="Calibri" w:hAnsi="Calibri" w:cs="Calibri"/>
          <w:sz w:val="22"/>
        </w:rPr>
        <w:t>The IAB node</w:t>
      </w:r>
      <w:r w:rsidR="00141D6A">
        <w:rPr>
          <w:rFonts w:ascii="Calibri" w:hAnsi="Calibri" w:cs="Calibri"/>
          <w:sz w:val="22"/>
        </w:rPr>
        <w:t>’</w:t>
      </w:r>
      <w:r w:rsidRPr="004C4917">
        <w:rPr>
          <w:rFonts w:ascii="Calibri" w:hAnsi="Calibri" w:cs="Calibri"/>
          <w:sz w:val="22"/>
        </w:rPr>
        <w:t>s MT PDN connection(s) should be possible to configure over any leg MCG/SCG as normal user plane data in EN-DC, enabling the possibility to send OAM signalling via LTE for NSA IAB node deployments.</w:t>
      </w:r>
      <w:bookmarkEnd w:id="4"/>
      <w:bookmarkEnd w:id="5"/>
      <w:bookmarkEnd w:id="6"/>
      <w:bookmarkEnd w:id="7"/>
      <w:r w:rsidRPr="004C4917">
        <w:rPr>
          <w:rFonts w:ascii="Calibri" w:hAnsi="Calibri" w:cs="Calibri"/>
          <w:sz w:val="22"/>
        </w:rPr>
        <w:t xml:space="preserve"> </w:t>
      </w:r>
    </w:p>
    <w:p w14:paraId="4E34F3E8" w14:textId="0CE0EBFD" w:rsidR="00533D70" w:rsidRPr="0046531F" w:rsidRDefault="00533D70" w:rsidP="008D09A8">
      <w:pPr>
        <w:pStyle w:val="Heading2"/>
        <w:tabs>
          <w:tab w:val="clear" w:pos="1710"/>
          <w:tab w:val="num" w:pos="709"/>
        </w:tabs>
        <w:ind w:hanging="1710"/>
        <w:rPr>
          <w:rFonts w:ascii="Calibri" w:hAnsi="Calibri" w:cs="Calibri"/>
          <w:sz w:val="28"/>
        </w:rPr>
      </w:pPr>
      <w:r w:rsidRPr="0046531F">
        <w:rPr>
          <w:rFonts w:ascii="Calibri" w:hAnsi="Calibri" w:cs="Calibri"/>
          <w:sz w:val="28"/>
        </w:rPr>
        <w:t>IAB-DU</w:t>
      </w:r>
      <w:r w:rsidR="000D6AF6">
        <w:rPr>
          <w:rFonts w:ascii="Calibri" w:hAnsi="Calibri" w:cs="Calibri"/>
          <w:sz w:val="28"/>
        </w:rPr>
        <w:t>’</w:t>
      </w:r>
      <w:r w:rsidRPr="0046531F">
        <w:rPr>
          <w:rFonts w:ascii="Calibri" w:hAnsi="Calibri" w:cs="Calibri"/>
          <w:sz w:val="28"/>
        </w:rPr>
        <w:t>s F1-AP connection</w:t>
      </w:r>
    </w:p>
    <w:p w14:paraId="2CC60FDE" w14:textId="77777777" w:rsidR="00D2095A" w:rsidRPr="004C4917" w:rsidRDefault="00DA191D" w:rsidP="008D09A8">
      <w:pPr>
        <w:jc w:val="left"/>
        <w:rPr>
          <w:rFonts w:ascii="Calibri" w:hAnsi="Calibri" w:cs="Calibri"/>
          <w:sz w:val="22"/>
        </w:rPr>
      </w:pPr>
      <w:r w:rsidRPr="004C4917">
        <w:rPr>
          <w:rFonts w:ascii="Calibri" w:hAnsi="Calibri" w:cs="Calibri"/>
          <w:sz w:val="22"/>
        </w:rPr>
        <w:t xml:space="preserve">Supporting F1-AP signalling over the LTE leg is technically </w:t>
      </w:r>
      <w:r w:rsidR="00AD5D60" w:rsidRPr="004C4917">
        <w:rPr>
          <w:rFonts w:ascii="Calibri" w:hAnsi="Calibri" w:cs="Calibri"/>
          <w:sz w:val="22"/>
        </w:rPr>
        <w:t xml:space="preserve">more challenging and will most likely have an impact on the LTE specification and implementation. </w:t>
      </w:r>
    </w:p>
    <w:p w14:paraId="623D18DC" w14:textId="7DACD7D6" w:rsidR="00D2095A" w:rsidRPr="004C4917" w:rsidRDefault="00AD5D60" w:rsidP="008D09A8">
      <w:pPr>
        <w:jc w:val="left"/>
        <w:rPr>
          <w:rFonts w:ascii="Calibri" w:hAnsi="Calibri" w:cs="Calibri"/>
          <w:sz w:val="22"/>
        </w:rPr>
      </w:pPr>
      <w:r w:rsidRPr="004C4917">
        <w:rPr>
          <w:rFonts w:ascii="Calibri" w:hAnsi="Calibri" w:cs="Calibri"/>
          <w:sz w:val="22"/>
        </w:rPr>
        <w:lastRenderedPageBreak/>
        <w:t>The F1-AP</w:t>
      </w:r>
      <w:r w:rsidR="001F7588" w:rsidRPr="004C4917">
        <w:rPr>
          <w:rFonts w:ascii="Calibri" w:hAnsi="Calibri" w:cs="Calibri"/>
          <w:sz w:val="22"/>
        </w:rPr>
        <w:t>/SCTP</w:t>
      </w:r>
      <w:r w:rsidRPr="004C4917">
        <w:rPr>
          <w:rFonts w:ascii="Calibri" w:hAnsi="Calibri" w:cs="Calibri"/>
          <w:sz w:val="22"/>
        </w:rPr>
        <w:t xml:space="preserve"> connection</w:t>
      </w:r>
      <w:r w:rsidR="00EB4A3B" w:rsidRPr="004C4917">
        <w:rPr>
          <w:rFonts w:ascii="Calibri" w:hAnsi="Calibri" w:cs="Calibri"/>
          <w:sz w:val="22"/>
        </w:rPr>
        <w:t xml:space="preserve"> between </w:t>
      </w:r>
      <w:r w:rsidR="00B037A0" w:rsidRPr="004C4917">
        <w:rPr>
          <w:rFonts w:ascii="Calibri" w:hAnsi="Calibri" w:cs="Calibri"/>
          <w:sz w:val="22"/>
        </w:rPr>
        <w:t>the Donor CU and IAB node</w:t>
      </w:r>
      <w:r w:rsidRPr="004C4917">
        <w:rPr>
          <w:rFonts w:ascii="Calibri" w:hAnsi="Calibri" w:cs="Calibri"/>
          <w:sz w:val="22"/>
        </w:rPr>
        <w:t xml:space="preserve"> is delivered as any other IP traffic </w:t>
      </w:r>
      <w:r w:rsidR="00041730" w:rsidRPr="004C4917">
        <w:rPr>
          <w:rFonts w:ascii="Calibri" w:hAnsi="Calibri" w:cs="Calibri"/>
          <w:sz w:val="22"/>
        </w:rPr>
        <w:t>via</w:t>
      </w:r>
      <w:r w:rsidRPr="004C4917">
        <w:rPr>
          <w:rFonts w:ascii="Calibri" w:hAnsi="Calibri" w:cs="Calibri"/>
          <w:sz w:val="22"/>
        </w:rPr>
        <w:t xml:space="preserve"> the DU function of the IAB donor node</w:t>
      </w:r>
      <w:r w:rsidR="00393814" w:rsidRPr="004C4917">
        <w:rPr>
          <w:rFonts w:ascii="Calibri" w:hAnsi="Calibri" w:cs="Calibri"/>
          <w:sz w:val="22"/>
        </w:rPr>
        <w:t xml:space="preserve"> and over BH RLC channels. </w:t>
      </w:r>
      <w:r w:rsidR="004B6A63" w:rsidRPr="004C4917">
        <w:rPr>
          <w:rFonts w:ascii="Calibri" w:hAnsi="Calibri" w:cs="Calibri"/>
          <w:sz w:val="22"/>
        </w:rPr>
        <w:t>Currently</w:t>
      </w:r>
      <w:r w:rsidR="00E64C04">
        <w:rPr>
          <w:rFonts w:ascii="Calibri" w:hAnsi="Calibri" w:cs="Calibri"/>
          <w:sz w:val="22"/>
        </w:rPr>
        <w:t>,</w:t>
      </w:r>
      <w:r w:rsidR="004B6A63" w:rsidRPr="004C4917">
        <w:rPr>
          <w:rFonts w:ascii="Calibri" w:hAnsi="Calibri" w:cs="Calibri"/>
          <w:sz w:val="22"/>
        </w:rPr>
        <w:t xml:space="preserve"> there is no existing LTE mechanism which can be used to deliver IP traffic </w:t>
      </w:r>
      <w:r w:rsidR="001F7588" w:rsidRPr="004C4917">
        <w:rPr>
          <w:rFonts w:ascii="Calibri" w:hAnsi="Calibri" w:cs="Calibri"/>
          <w:sz w:val="22"/>
        </w:rPr>
        <w:t xml:space="preserve">to the IAB node in such a way. </w:t>
      </w:r>
    </w:p>
    <w:p w14:paraId="7B5E89E1" w14:textId="5EF06FF2" w:rsidR="00D318BF" w:rsidRPr="004C4917" w:rsidRDefault="00D318BF" w:rsidP="008D09A8">
      <w:pPr>
        <w:pStyle w:val="Observation"/>
        <w:jc w:val="left"/>
        <w:rPr>
          <w:rFonts w:ascii="Calibri" w:hAnsi="Calibri" w:cs="Calibri"/>
          <w:sz w:val="22"/>
        </w:rPr>
      </w:pPr>
      <w:bookmarkStart w:id="8" w:name="_Toc16066741"/>
      <w:bookmarkStart w:id="9" w:name="_Toc16597191"/>
      <w:bookmarkStart w:id="10" w:name="_Toc16757721"/>
      <w:bookmarkStart w:id="11" w:name="_Toc16787447"/>
      <w:r w:rsidRPr="004C4917">
        <w:rPr>
          <w:rFonts w:ascii="Calibri" w:hAnsi="Calibri" w:cs="Calibri"/>
          <w:sz w:val="22"/>
        </w:rPr>
        <w:t>The F1-AP/SCTP connection is delivered as any other IP traffic via the DU function of the IAB donor node and over BH RLC channels to the IAB node. Currently there is no existing LTE mechanism which can be used to deliver IP traffic to the IAB node</w:t>
      </w:r>
      <w:r w:rsidR="00D4113D" w:rsidRPr="004C4917">
        <w:rPr>
          <w:rFonts w:ascii="Calibri" w:hAnsi="Calibri" w:cs="Calibri"/>
          <w:sz w:val="22"/>
        </w:rPr>
        <w:t xml:space="preserve"> over LTE radio</w:t>
      </w:r>
      <w:r w:rsidRPr="004C4917">
        <w:rPr>
          <w:rFonts w:ascii="Calibri" w:hAnsi="Calibri" w:cs="Calibri"/>
          <w:sz w:val="22"/>
        </w:rPr>
        <w:t xml:space="preserve"> in such a way.</w:t>
      </w:r>
      <w:bookmarkEnd w:id="8"/>
      <w:bookmarkEnd w:id="9"/>
      <w:bookmarkEnd w:id="10"/>
      <w:bookmarkEnd w:id="11"/>
      <w:r w:rsidRPr="004C4917">
        <w:rPr>
          <w:rFonts w:ascii="Calibri" w:hAnsi="Calibri" w:cs="Calibri"/>
          <w:sz w:val="22"/>
        </w:rPr>
        <w:t xml:space="preserve"> </w:t>
      </w:r>
    </w:p>
    <w:p w14:paraId="3FACBF71" w14:textId="77101C55" w:rsidR="002C0ADC" w:rsidRPr="004C4917" w:rsidRDefault="00D94809" w:rsidP="008D09A8">
      <w:pPr>
        <w:jc w:val="left"/>
        <w:rPr>
          <w:rFonts w:ascii="Calibri" w:hAnsi="Calibri" w:cs="Calibri"/>
          <w:sz w:val="22"/>
        </w:rPr>
      </w:pPr>
      <w:r w:rsidRPr="004C4917">
        <w:rPr>
          <w:rFonts w:ascii="Calibri" w:hAnsi="Calibri" w:cs="Calibri"/>
          <w:sz w:val="22"/>
        </w:rPr>
        <w:t>In our view</w:t>
      </w:r>
      <w:r w:rsidR="004C4917">
        <w:rPr>
          <w:rFonts w:ascii="Calibri" w:hAnsi="Calibri" w:cs="Calibri"/>
          <w:sz w:val="22"/>
        </w:rPr>
        <w:t xml:space="preserve">, </w:t>
      </w:r>
      <w:r w:rsidRPr="004C4917">
        <w:rPr>
          <w:rFonts w:ascii="Calibri" w:hAnsi="Calibri" w:cs="Calibri"/>
          <w:sz w:val="22"/>
        </w:rPr>
        <w:t xml:space="preserve">it is not so straightforward to just deliver F1-AP message via LTE RRC as suggested in </w:t>
      </w:r>
      <w:r w:rsidR="001C6876" w:rsidRPr="004C4917">
        <w:rPr>
          <w:rFonts w:ascii="Calibri" w:hAnsi="Calibri" w:cs="Calibri"/>
          <w:sz w:val="22"/>
        </w:rPr>
        <w:t xml:space="preserve">[1] since </w:t>
      </w:r>
      <w:r w:rsidR="00B27619" w:rsidRPr="004C4917">
        <w:rPr>
          <w:rFonts w:ascii="Calibri" w:hAnsi="Calibri" w:cs="Calibri"/>
          <w:sz w:val="22"/>
        </w:rPr>
        <w:t>the functionalit</w:t>
      </w:r>
      <w:r w:rsidR="008A50C1">
        <w:rPr>
          <w:rFonts w:ascii="Calibri" w:hAnsi="Calibri" w:cs="Calibri"/>
          <w:sz w:val="22"/>
        </w:rPr>
        <w:t>ies</w:t>
      </w:r>
      <w:r w:rsidR="00B27619" w:rsidRPr="004C4917">
        <w:rPr>
          <w:rFonts w:ascii="Calibri" w:hAnsi="Calibri" w:cs="Calibri"/>
          <w:sz w:val="22"/>
        </w:rPr>
        <w:t xml:space="preserve"> </w:t>
      </w:r>
      <w:r w:rsidR="006D5B75" w:rsidRPr="004C4917">
        <w:rPr>
          <w:rFonts w:ascii="Calibri" w:hAnsi="Calibri" w:cs="Calibri"/>
          <w:sz w:val="22"/>
        </w:rPr>
        <w:t xml:space="preserve">such as </w:t>
      </w:r>
      <w:r w:rsidR="00E35FBB" w:rsidRPr="004C4917">
        <w:rPr>
          <w:rFonts w:ascii="Calibri" w:hAnsi="Calibri" w:cs="Calibri"/>
          <w:sz w:val="22"/>
        </w:rPr>
        <w:t xml:space="preserve">addressing, reliability, etc. </w:t>
      </w:r>
      <w:r w:rsidR="00B27619" w:rsidRPr="004C4917">
        <w:rPr>
          <w:rFonts w:ascii="Calibri" w:hAnsi="Calibri" w:cs="Calibri"/>
          <w:sz w:val="22"/>
        </w:rPr>
        <w:t xml:space="preserve">currently provided by SCTP and IP layers would still need to be handled in some way. </w:t>
      </w:r>
    </w:p>
    <w:p w14:paraId="19FDE2F8" w14:textId="0C888AE0" w:rsidR="00A6444C" w:rsidRPr="004C4917" w:rsidRDefault="00A6444C" w:rsidP="008D09A8">
      <w:pPr>
        <w:pStyle w:val="Observation"/>
        <w:jc w:val="left"/>
        <w:rPr>
          <w:rFonts w:ascii="Calibri" w:hAnsi="Calibri" w:cs="Calibri"/>
          <w:sz w:val="22"/>
        </w:rPr>
      </w:pPr>
      <w:bookmarkStart w:id="12" w:name="_Toc16066742"/>
      <w:bookmarkStart w:id="13" w:name="_Toc16597192"/>
      <w:bookmarkStart w:id="14" w:name="_Toc16757722"/>
      <w:bookmarkStart w:id="15" w:name="_Toc16787448"/>
      <w:r w:rsidRPr="004C4917">
        <w:rPr>
          <w:rFonts w:ascii="Calibri" w:hAnsi="Calibri" w:cs="Calibri"/>
          <w:sz w:val="22"/>
        </w:rPr>
        <w:t>Delivering</w:t>
      </w:r>
      <w:r w:rsidR="002C0ADC" w:rsidRPr="004C4917">
        <w:rPr>
          <w:rFonts w:ascii="Calibri" w:hAnsi="Calibri" w:cs="Calibri"/>
          <w:sz w:val="22"/>
        </w:rPr>
        <w:t xml:space="preserve"> F1-AP messages via LTE RRC is not straight forward since F1-C relies on </w:t>
      </w:r>
      <w:r w:rsidRPr="004C4917">
        <w:rPr>
          <w:rFonts w:ascii="Calibri" w:hAnsi="Calibri" w:cs="Calibri"/>
          <w:sz w:val="22"/>
        </w:rPr>
        <w:t>functionalit</w:t>
      </w:r>
      <w:r w:rsidR="008A50C1">
        <w:rPr>
          <w:rFonts w:ascii="Calibri" w:hAnsi="Calibri" w:cs="Calibri"/>
          <w:sz w:val="22"/>
        </w:rPr>
        <w:t>ies</w:t>
      </w:r>
      <w:r w:rsidRPr="004C4917">
        <w:rPr>
          <w:rFonts w:ascii="Calibri" w:hAnsi="Calibri" w:cs="Calibri"/>
          <w:sz w:val="22"/>
        </w:rPr>
        <w:t xml:space="preserve"> currently provided by SCTP and IP layers.</w:t>
      </w:r>
      <w:bookmarkEnd w:id="12"/>
      <w:bookmarkEnd w:id="13"/>
      <w:bookmarkEnd w:id="14"/>
      <w:bookmarkEnd w:id="15"/>
    </w:p>
    <w:p w14:paraId="56020C7E" w14:textId="729E3CC2" w:rsidR="000023F9" w:rsidRPr="004C4917" w:rsidRDefault="00C156CF" w:rsidP="008D09A8">
      <w:pPr>
        <w:jc w:val="left"/>
        <w:rPr>
          <w:rFonts w:ascii="Calibri" w:hAnsi="Calibri" w:cs="Calibri"/>
          <w:sz w:val="22"/>
        </w:rPr>
      </w:pPr>
      <w:r w:rsidRPr="004C4917">
        <w:rPr>
          <w:rFonts w:ascii="Calibri" w:hAnsi="Calibri" w:cs="Calibri"/>
          <w:sz w:val="22"/>
        </w:rPr>
        <w:t>In theory</w:t>
      </w:r>
      <w:r w:rsidR="008A50C1">
        <w:rPr>
          <w:rFonts w:ascii="Calibri" w:hAnsi="Calibri" w:cs="Calibri"/>
          <w:sz w:val="22"/>
        </w:rPr>
        <w:t>,</w:t>
      </w:r>
      <w:r w:rsidRPr="004C4917">
        <w:rPr>
          <w:rFonts w:ascii="Calibri" w:hAnsi="Calibri" w:cs="Calibri"/>
          <w:sz w:val="22"/>
        </w:rPr>
        <w:t xml:space="preserve"> it would be possible to deliver F1-AP/SCTP/IP by the IAB setting up a PDN connection </w:t>
      </w:r>
      <w:r w:rsidR="00D2095A" w:rsidRPr="004C4917">
        <w:rPr>
          <w:rFonts w:ascii="Calibri" w:hAnsi="Calibri" w:cs="Calibri"/>
          <w:sz w:val="22"/>
        </w:rPr>
        <w:t xml:space="preserve">to the EPC for this purpose, but </w:t>
      </w:r>
      <w:r w:rsidR="00497453" w:rsidRPr="004C4917">
        <w:rPr>
          <w:rFonts w:ascii="Calibri" w:hAnsi="Calibri" w:cs="Calibri"/>
          <w:sz w:val="22"/>
        </w:rPr>
        <w:t xml:space="preserve">in our </w:t>
      </w:r>
      <w:r w:rsidR="0035006F" w:rsidRPr="004C4917">
        <w:rPr>
          <w:rFonts w:ascii="Calibri" w:hAnsi="Calibri" w:cs="Calibri"/>
          <w:sz w:val="22"/>
        </w:rPr>
        <w:t>view, this</w:t>
      </w:r>
      <w:r w:rsidR="00497453" w:rsidRPr="004C4917">
        <w:rPr>
          <w:rFonts w:ascii="Calibri" w:hAnsi="Calibri" w:cs="Calibri"/>
          <w:sz w:val="22"/>
        </w:rPr>
        <w:t xml:space="preserve"> </w:t>
      </w:r>
      <w:r w:rsidR="000023F9" w:rsidRPr="004C4917">
        <w:rPr>
          <w:rFonts w:ascii="Calibri" w:hAnsi="Calibri" w:cs="Calibri"/>
          <w:sz w:val="22"/>
        </w:rPr>
        <w:t>is also a quite complex solution which complicate</w:t>
      </w:r>
      <w:r w:rsidR="00EB6524">
        <w:rPr>
          <w:rFonts w:ascii="Calibri" w:hAnsi="Calibri" w:cs="Calibri"/>
          <w:sz w:val="22"/>
        </w:rPr>
        <w:t>s</w:t>
      </w:r>
      <w:r w:rsidR="000023F9" w:rsidRPr="004C4917">
        <w:rPr>
          <w:rFonts w:ascii="Calibri" w:hAnsi="Calibri" w:cs="Calibri"/>
          <w:sz w:val="22"/>
        </w:rPr>
        <w:t xml:space="preserve"> IAB node operation/configuration</w:t>
      </w:r>
      <w:r w:rsidR="00497453" w:rsidRPr="004C4917">
        <w:rPr>
          <w:rFonts w:ascii="Calibri" w:hAnsi="Calibri" w:cs="Calibri"/>
          <w:sz w:val="22"/>
        </w:rPr>
        <w:t>.</w:t>
      </w:r>
    </w:p>
    <w:p w14:paraId="1BF900E5" w14:textId="472FCFE4" w:rsidR="00A6444C" w:rsidRPr="004C4917" w:rsidRDefault="00A6444C" w:rsidP="008D09A8">
      <w:pPr>
        <w:pStyle w:val="Observation"/>
        <w:jc w:val="left"/>
        <w:rPr>
          <w:rFonts w:ascii="Calibri" w:hAnsi="Calibri" w:cs="Calibri"/>
          <w:sz w:val="22"/>
        </w:rPr>
      </w:pPr>
      <w:bookmarkStart w:id="16" w:name="_Toc16066743"/>
      <w:bookmarkStart w:id="17" w:name="_Toc16597193"/>
      <w:bookmarkStart w:id="18" w:name="_Toc16757723"/>
      <w:bookmarkStart w:id="19" w:name="_Toc16787449"/>
      <w:r w:rsidRPr="004C4917">
        <w:rPr>
          <w:rFonts w:ascii="Calibri" w:hAnsi="Calibri" w:cs="Calibri"/>
          <w:sz w:val="22"/>
        </w:rPr>
        <w:t xml:space="preserve">Delivering F1-AP/SCTP/IP via a PDN connection to the EPC is possible but would </w:t>
      </w:r>
      <w:r w:rsidR="00954EE3" w:rsidRPr="004C4917">
        <w:rPr>
          <w:rFonts w:ascii="Calibri" w:hAnsi="Calibri" w:cs="Calibri"/>
          <w:sz w:val="22"/>
        </w:rPr>
        <w:t>increase system complexity involving both LTE / NR RAN and EPC.</w:t>
      </w:r>
      <w:bookmarkEnd w:id="16"/>
      <w:bookmarkEnd w:id="17"/>
      <w:bookmarkEnd w:id="18"/>
      <w:bookmarkEnd w:id="19"/>
      <w:r w:rsidR="00954EE3" w:rsidRPr="004C4917">
        <w:rPr>
          <w:rFonts w:ascii="Calibri" w:hAnsi="Calibri" w:cs="Calibri"/>
          <w:sz w:val="22"/>
        </w:rPr>
        <w:t xml:space="preserve"> </w:t>
      </w:r>
    </w:p>
    <w:p w14:paraId="050C5BCF" w14:textId="35C1EF2E" w:rsidR="00430C66" w:rsidRPr="004C4917" w:rsidRDefault="00042310" w:rsidP="008D09A8">
      <w:pPr>
        <w:jc w:val="left"/>
        <w:rPr>
          <w:rFonts w:ascii="Calibri" w:hAnsi="Calibri" w:cs="Calibri"/>
          <w:sz w:val="22"/>
        </w:rPr>
      </w:pPr>
      <w:r w:rsidRPr="004C4917">
        <w:rPr>
          <w:rFonts w:ascii="Calibri" w:hAnsi="Calibri" w:cs="Calibri"/>
          <w:sz w:val="22"/>
        </w:rPr>
        <w:t>Given the complexities above</w:t>
      </w:r>
      <w:r w:rsidR="00406018">
        <w:rPr>
          <w:rFonts w:ascii="Calibri" w:hAnsi="Calibri" w:cs="Calibri"/>
          <w:sz w:val="22"/>
        </w:rPr>
        <w:t>,</w:t>
      </w:r>
      <w:r w:rsidRPr="004C4917">
        <w:rPr>
          <w:rFonts w:ascii="Calibri" w:hAnsi="Calibri" w:cs="Calibri"/>
          <w:sz w:val="22"/>
        </w:rPr>
        <w:t xml:space="preserve"> we think it is </w:t>
      </w:r>
      <w:proofErr w:type="gramStart"/>
      <w:r w:rsidRPr="004C4917">
        <w:rPr>
          <w:rFonts w:ascii="Calibri" w:hAnsi="Calibri" w:cs="Calibri"/>
          <w:sz w:val="22"/>
        </w:rPr>
        <w:t>sufficient</w:t>
      </w:r>
      <w:proofErr w:type="gramEnd"/>
      <w:r w:rsidRPr="004C4917">
        <w:rPr>
          <w:rFonts w:ascii="Calibri" w:hAnsi="Calibri" w:cs="Calibri"/>
          <w:sz w:val="22"/>
        </w:rPr>
        <w:t xml:space="preserve"> to limit the IAB node signalling in Rel-16 to </w:t>
      </w:r>
      <w:r w:rsidR="007E3007" w:rsidRPr="004C4917">
        <w:rPr>
          <w:rFonts w:ascii="Calibri" w:hAnsi="Calibri" w:cs="Calibri"/>
          <w:sz w:val="22"/>
        </w:rPr>
        <w:t>only MT</w:t>
      </w:r>
      <w:r w:rsidR="000D6AF6">
        <w:rPr>
          <w:rFonts w:ascii="Calibri" w:hAnsi="Calibri" w:cs="Calibri"/>
          <w:sz w:val="22"/>
        </w:rPr>
        <w:t>’</w:t>
      </w:r>
      <w:r w:rsidR="007E3007" w:rsidRPr="004C4917">
        <w:rPr>
          <w:rFonts w:ascii="Calibri" w:hAnsi="Calibri" w:cs="Calibri"/>
          <w:sz w:val="22"/>
        </w:rPr>
        <w:t>s RRC and PDN connections</w:t>
      </w:r>
      <w:r w:rsidR="00406018">
        <w:rPr>
          <w:rFonts w:ascii="Calibri" w:hAnsi="Calibri" w:cs="Calibri"/>
          <w:sz w:val="22"/>
        </w:rPr>
        <w:t>,</w:t>
      </w:r>
      <w:r w:rsidR="007E3007" w:rsidRPr="004C4917">
        <w:rPr>
          <w:rFonts w:ascii="Calibri" w:hAnsi="Calibri" w:cs="Calibri"/>
          <w:sz w:val="22"/>
        </w:rPr>
        <w:t xml:space="preserve"> since most likely these are the most </w:t>
      </w:r>
      <w:r w:rsidR="00430C66" w:rsidRPr="004C4917">
        <w:rPr>
          <w:rFonts w:ascii="Calibri" w:hAnsi="Calibri" w:cs="Calibri"/>
          <w:sz w:val="22"/>
        </w:rPr>
        <w:t>critical</w:t>
      </w:r>
      <w:r w:rsidR="007E3007" w:rsidRPr="004C4917">
        <w:rPr>
          <w:rFonts w:ascii="Calibri" w:hAnsi="Calibri" w:cs="Calibri"/>
          <w:sz w:val="22"/>
        </w:rPr>
        <w:t xml:space="preserve"> </w:t>
      </w:r>
      <w:r w:rsidR="00406018">
        <w:rPr>
          <w:rFonts w:ascii="Calibri" w:hAnsi="Calibri" w:cs="Calibri"/>
          <w:sz w:val="22"/>
        </w:rPr>
        <w:t xml:space="preserve">types of </w:t>
      </w:r>
      <w:r w:rsidR="007E3007" w:rsidRPr="004C4917">
        <w:rPr>
          <w:rFonts w:ascii="Calibri" w:hAnsi="Calibri" w:cs="Calibri"/>
          <w:sz w:val="22"/>
        </w:rPr>
        <w:t xml:space="preserve">signalling needed to be supported via LTE e.g. </w:t>
      </w:r>
      <w:r w:rsidR="00430C66" w:rsidRPr="004C4917">
        <w:rPr>
          <w:rFonts w:ascii="Calibri" w:hAnsi="Calibri" w:cs="Calibri"/>
          <w:sz w:val="22"/>
        </w:rPr>
        <w:t>to set</w:t>
      </w:r>
      <w:r w:rsidR="00406018">
        <w:rPr>
          <w:rFonts w:ascii="Calibri" w:hAnsi="Calibri" w:cs="Calibri"/>
          <w:sz w:val="22"/>
        </w:rPr>
        <w:t xml:space="preserve"> </w:t>
      </w:r>
      <w:r w:rsidR="00430C66" w:rsidRPr="004C4917">
        <w:rPr>
          <w:rFonts w:ascii="Calibri" w:hAnsi="Calibri" w:cs="Calibri"/>
          <w:sz w:val="22"/>
        </w:rPr>
        <w:t>up/reconfigure the NR leg</w:t>
      </w:r>
      <w:r w:rsidR="007E3007" w:rsidRPr="004C4917">
        <w:rPr>
          <w:rFonts w:ascii="Calibri" w:hAnsi="Calibri" w:cs="Calibri"/>
          <w:sz w:val="22"/>
        </w:rPr>
        <w:t xml:space="preserve">. </w:t>
      </w:r>
      <w:r w:rsidR="00430C66" w:rsidRPr="004C4917">
        <w:rPr>
          <w:rFonts w:ascii="Calibri" w:hAnsi="Calibri" w:cs="Calibri"/>
          <w:sz w:val="22"/>
        </w:rPr>
        <w:t xml:space="preserve">It should be </w:t>
      </w:r>
      <w:proofErr w:type="gramStart"/>
      <w:r w:rsidR="006D4639" w:rsidRPr="004C4917">
        <w:rPr>
          <w:rFonts w:ascii="Calibri" w:hAnsi="Calibri" w:cs="Calibri"/>
          <w:sz w:val="22"/>
        </w:rPr>
        <w:t>sufficient</w:t>
      </w:r>
      <w:proofErr w:type="gramEnd"/>
      <w:r w:rsidR="00430C66" w:rsidRPr="004C4917">
        <w:rPr>
          <w:rFonts w:ascii="Calibri" w:hAnsi="Calibri" w:cs="Calibri"/>
          <w:sz w:val="22"/>
        </w:rPr>
        <w:t xml:space="preserve"> to only perform F1 signalling via the SCG leg o</w:t>
      </w:r>
      <w:r w:rsidR="007E3007" w:rsidRPr="004C4917">
        <w:rPr>
          <w:rFonts w:ascii="Calibri" w:hAnsi="Calibri" w:cs="Calibri"/>
          <w:sz w:val="22"/>
        </w:rPr>
        <w:t>nce the NR leg is up and running</w:t>
      </w:r>
      <w:r w:rsidR="00430C66" w:rsidRPr="004C4917">
        <w:rPr>
          <w:rFonts w:ascii="Calibri" w:hAnsi="Calibri" w:cs="Calibri"/>
          <w:sz w:val="22"/>
        </w:rPr>
        <w:t>.</w:t>
      </w:r>
    </w:p>
    <w:p w14:paraId="3C508307" w14:textId="4BBA82E1" w:rsidR="0084390B" w:rsidRPr="004C4917" w:rsidRDefault="0084390B" w:rsidP="008D09A8">
      <w:pPr>
        <w:pStyle w:val="Proposal"/>
        <w:jc w:val="left"/>
        <w:rPr>
          <w:rFonts w:ascii="Calibri" w:hAnsi="Calibri" w:cs="Calibri"/>
          <w:sz w:val="22"/>
        </w:rPr>
      </w:pPr>
      <w:bookmarkStart w:id="20" w:name="_Toc16066771"/>
      <w:bookmarkStart w:id="21" w:name="_Toc16597212"/>
      <w:bookmarkStart w:id="22" w:name="_Toc16757726"/>
      <w:bookmarkStart w:id="23" w:name="_Toc16787444"/>
      <w:r w:rsidRPr="004C4917">
        <w:rPr>
          <w:rFonts w:ascii="Calibri" w:hAnsi="Calibri" w:cs="Calibri"/>
          <w:sz w:val="22"/>
        </w:rPr>
        <w:t xml:space="preserve">Given the identified complexities in supporting F1-AP via LTE </w:t>
      </w:r>
      <w:r w:rsidR="00A9043D" w:rsidRPr="004C4917">
        <w:rPr>
          <w:rFonts w:ascii="Calibri" w:hAnsi="Calibri" w:cs="Calibri"/>
          <w:sz w:val="22"/>
        </w:rPr>
        <w:t>MCG leg in NSA deployments it is</w:t>
      </w:r>
      <w:r w:rsidRPr="004C4917">
        <w:rPr>
          <w:rFonts w:ascii="Calibri" w:hAnsi="Calibri" w:cs="Calibri"/>
          <w:sz w:val="22"/>
        </w:rPr>
        <w:t xml:space="preserve"> </w:t>
      </w:r>
      <w:proofErr w:type="gramStart"/>
      <w:r w:rsidRPr="004C4917">
        <w:rPr>
          <w:rFonts w:ascii="Calibri" w:hAnsi="Calibri" w:cs="Calibri"/>
          <w:sz w:val="22"/>
        </w:rPr>
        <w:t>sufficient</w:t>
      </w:r>
      <w:proofErr w:type="gramEnd"/>
      <w:r w:rsidRPr="004C4917">
        <w:rPr>
          <w:rFonts w:ascii="Calibri" w:hAnsi="Calibri" w:cs="Calibri"/>
          <w:sz w:val="22"/>
        </w:rPr>
        <w:t xml:space="preserve"> to limit the IAB node signalling </w:t>
      </w:r>
      <w:r w:rsidR="00A9043D" w:rsidRPr="004C4917">
        <w:rPr>
          <w:rFonts w:ascii="Calibri" w:hAnsi="Calibri" w:cs="Calibri"/>
          <w:sz w:val="22"/>
        </w:rPr>
        <w:t xml:space="preserve">via LTE </w:t>
      </w:r>
      <w:r w:rsidRPr="004C4917">
        <w:rPr>
          <w:rFonts w:ascii="Calibri" w:hAnsi="Calibri" w:cs="Calibri"/>
          <w:sz w:val="22"/>
        </w:rPr>
        <w:t>in Rel-16 to only MT</w:t>
      </w:r>
      <w:r w:rsidR="000D6AF6">
        <w:rPr>
          <w:rFonts w:ascii="Calibri" w:hAnsi="Calibri" w:cs="Calibri"/>
          <w:sz w:val="22"/>
        </w:rPr>
        <w:t>’</w:t>
      </w:r>
      <w:r w:rsidRPr="004C4917">
        <w:rPr>
          <w:rFonts w:ascii="Calibri" w:hAnsi="Calibri" w:cs="Calibri"/>
          <w:sz w:val="22"/>
        </w:rPr>
        <w:t>s RRC and PDN connections</w:t>
      </w:r>
      <w:r w:rsidR="00A9043D" w:rsidRPr="004C4917">
        <w:rPr>
          <w:rFonts w:ascii="Calibri" w:hAnsi="Calibri" w:cs="Calibri"/>
          <w:sz w:val="22"/>
        </w:rPr>
        <w:t xml:space="preserve"> and support F1-</w:t>
      </w:r>
      <w:r w:rsidR="004D1AFA" w:rsidRPr="004C4917">
        <w:rPr>
          <w:rFonts w:ascii="Calibri" w:hAnsi="Calibri" w:cs="Calibri"/>
          <w:sz w:val="22"/>
        </w:rPr>
        <w:t>C</w:t>
      </w:r>
      <w:r w:rsidR="00A9043D" w:rsidRPr="004C4917">
        <w:rPr>
          <w:rFonts w:ascii="Calibri" w:hAnsi="Calibri" w:cs="Calibri"/>
          <w:sz w:val="22"/>
        </w:rPr>
        <w:t xml:space="preserve"> </w:t>
      </w:r>
      <w:r w:rsidR="004D1AFA" w:rsidRPr="004C4917">
        <w:rPr>
          <w:rFonts w:ascii="Calibri" w:hAnsi="Calibri" w:cs="Calibri"/>
          <w:sz w:val="22"/>
        </w:rPr>
        <w:t xml:space="preserve">only </w:t>
      </w:r>
      <w:r w:rsidR="00A9043D" w:rsidRPr="004C4917">
        <w:rPr>
          <w:rFonts w:ascii="Calibri" w:hAnsi="Calibri" w:cs="Calibri"/>
          <w:sz w:val="22"/>
        </w:rPr>
        <w:t>via NR SCG leg</w:t>
      </w:r>
      <w:r w:rsidR="00DA57DF">
        <w:rPr>
          <w:rFonts w:ascii="Calibri" w:hAnsi="Calibri" w:cs="Calibri"/>
          <w:sz w:val="22"/>
        </w:rPr>
        <w:t>,</w:t>
      </w:r>
      <w:r w:rsidR="004D1AFA" w:rsidRPr="004C4917">
        <w:rPr>
          <w:rFonts w:ascii="Calibri" w:hAnsi="Calibri" w:cs="Calibri"/>
          <w:sz w:val="22"/>
        </w:rPr>
        <w:t xml:space="preserve"> similar to F1-U</w:t>
      </w:r>
      <w:r w:rsidRPr="004C4917">
        <w:rPr>
          <w:rFonts w:ascii="Calibri" w:hAnsi="Calibri" w:cs="Calibri"/>
          <w:sz w:val="22"/>
        </w:rPr>
        <w:t>.</w:t>
      </w:r>
      <w:bookmarkEnd w:id="20"/>
      <w:bookmarkEnd w:id="21"/>
      <w:bookmarkEnd w:id="22"/>
      <w:bookmarkEnd w:id="23"/>
      <w:r w:rsidRPr="004C4917">
        <w:rPr>
          <w:rFonts w:ascii="Calibri" w:hAnsi="Calibri" w:cs="Calibri"/>
          <w:sz w:val="22"/>
        </w:rPr>
        <w:t xml:space="preserve"> </w:t>
      </w:r>
    </w:p>
    <w:p w14:paraId="293D5A1D" w14:textId="21796028" w:rsidR="004000E8" w:rsidRPr="004C4917" w:rsidRDefault="007206FB" w:rsidP="008D09A8">
      <w:pPr>
        <w:pStyle w:val="Heading1"/>
        <w:rPr>
          <w:rFonts w:asciiTheme="minorHAnsi" w:hAnsiTheme="minorHAnsi" w:cstheme="minorHAnsi"/>
        </w:rPr>
      </w:pPr>
      <w:r w:rsidRPr="004C4917">
        <w:rPr>
          <w:rFonts w:asciiTheme="minorHAnsi" w:hAnsiTheme="minorHAnsi" w:cstheme="minorHAnsi"/>
        </w:rPr>
        <w:t>Conclusions</w:t>
      </w:r>
    </w:p>
    <w:p w14:paraId="55E7CFE4" w14:textId="05888C1D" w:rsidR="005738C8" w:rsidRPr="004C4917" w:rsidRDefault="005738C8" w:rsidP="008D09A8">
      <w:pPr>
        <w:jc w:val="left"/>
        <w:rPr>
          <w:rFonts w:asciiTheme="minorHAnsi" w:hAnsiTheme="minorHAnsi" w:cstheme="minorHAnsi"/>
          <w:sz w:val="22"/>
        </w:rPr>
      </w:pPr>
      <w:bookmarkStart w:id="24" w:name="_Toc528842915"/>
      <w:r w:rsidRPr="004C4917">
        <w:rPr>
          <w:rFonts w:asciiTheme="minorHAnsi" w:hAnsiTheme="minorHAnsi" w:cstheme="minorHAnsi"/>
          <w:sz w:val="22"/>
        </w:rPr>
        <w:t>In earlier sections we made the following observations:</w:t>
      </w:r>
      <w:bookmarkEnd w:id="24"/>
    </w:p>
    <w:p w14:paraId="48B642BD" w14:textId="77777777" w:rsidR="00A438C1" w:rsidRPr="00A438C1" w:rsidRDefault="005738C8">
      <w:pPr>
        <w:pStyle w:val="TOC1"/>
        <w:rPr>
          <w:rFonts w:asciiTheme="minorHAnsi" w:eastAsiaTheme="minorEastAsia" w:hAnsiTheme="minorHAnsi" w:cstheme="minorBidi"/>
          <w:b w:val="0"/>
          <w:sz w:val="22"/>
          <w:lang w:eastAsia="sv-SE"/>
        </w:rPr>
      </w:pPr>
      <w:r w:rsidRPr="004C4917">
        <w:rPr>
          <w:rFonts w:asciiTheme="minorHAnsi" w:hAnsiTheme="minorHAnsi" w:cstheme="minorHAnsi"/>
          <w:b w:val="0"/>
          <w:bCs/>
          <w:sz w:val="22"/>
        </w:rPr>
        <w:fldChar w:fldCharType="begin"/>
      </w:r>
      <w:r w:rsidRPr="004C4917">
        <w:rPr>
          <w:rFonts w:asciiTheme="minorHAnsi" w:hAnsiTheme="minorHAnsi" w:cstheme="minorHAnsi"/>
          <w:bCs/>
          <w:sz w:val="22"/>
        </w:rPr>
        <w:instrText xml:space="preserve"> TOC \f \n \t "Observation;1" </w:instrText>
      </w:r>
      <w:r w:rsidRPr="004C4917">
        <w:rPr>
          <w:rFonts w:asciiTheme="minorHAnsi" w:hAnsiTheme="minorHAnsi" w:cstheme="minorHAnsi"/>
          <w:b w:val="0"/>
          <w:bCs/>
          <w:sz w:val="22"/>
        </w:rPr>
        <w:fldChar w:fldCharType="separate"/>
      </w:r>
      <w:r w:rsidR="00A438C1" w:rsidRPr="005B6730">
        <w:rPr>
          <w:rFonts w:ascii="Calibri" w:hAnsi="Calibri" w:cs="Calibri"/>
        </w:rPr>
        <w:t>Observation 1</w:t>
      </w:r>
      <w:r w:rsidR="00A438C1" w:rsidRPr="00A438C1">
        <w:rPr>
          <w:rFonts w:asciiTheme="minorHAnsi" w:eastAsiaTheme="minorEastAsia" w:hAnsiTheme="minorHAnsi" w:cstheme="minorBidi"/>
          <w:b w:val="0"/>
          <w:sz w:val="22"/>
          <w:lang w:eastAsia="sv-SE"/>
        </w:rPr>
        <w:tab/>
      </w:r>
      <w:r w:rsidR="00A438C1" w:rsidRPr="005B6730">
        <w:rPr>
          <w:rFonts w:ascii="Calibri" w:hAnsi="Calibri" w:cs="Calibri"/>
        </w:rPr>
        <w:t>The F1-AP/SCTP connection is delivered as any other IP traffic via the DU function of the IAB donor node and over BH RLC channels to the IAB node. Currently there is no existing LTE mechanism which can be used to deliver IP traffic to the IAB node over LTE radio in such a way.</w:t>
      </w:r>
    </w:p>
    <w:p w14:paraId="132B1EC9" w14:textId="77777777" w:rsidR="00A438C1" w:rsidRPr="00A438C1" w:rsidRDefault="00A438C1">
      <w:pPr>
        <w:pStyle w:val="TOC1"/>
        <w:rPr>
          <w:rFonts w:asciiTheme="minorHAnsi" w:eastAsiaTheme="minorEastAsia" w:hAnsiTheme="minorHAnsi" w:cstheme="minorBidi"/>
          <w:b w:val="0"/>
          <w:sz w:val="22"/>
          <w:lang w:eastAsia="sv-SE"/>
        </w:rPr>
      </w:pPr>
      <w:r w:rsidRPr="005B6730">
        <w:rPr>
          <w:rFonts w:ascii="Calibri" w:hAnsi="Calibri" w:cs="Calibri"/>
        </w:rPr>
        <w:t>Observation 2</w:t>
      </w:r>
      <w:r w:rsidRPr="00A438C1">
        <w:rPr>
          <w:rFonts w:asciiTheme="minorHAnsi" w:eastAsiaTheme="minorEastAsia" w:hAnsiTheme="minorHAnsi" w:cstheme="minorBidi"/>
          <w:b w:val="0"/>
          <w:sz w:val="22"/>
          <w:lang w:eastAsia="sv-SE"/>
        </w:rPr>
        <w:tab/>
      </w:r>
      <w:r w:rsidRPr="005B6730">
        <w:rPr>
          <w:rFonts w:ascii="Calibri" w:hAnsi="Calibri" w:cs="Calibri"/>
        </w:rPr>
        <w:t>Delivering F1-AP messages via LTE RRC is not straight forward since F1-C relies on functionalities currently provided by SCTP and IP layers.</w:t>
      </w:r>
    </w:p>
    <w:p w14:paraId="7848BB7D" w14:textId="77777777" w:rsidR="00A438C1" w:rsidRPr="00A438C1" w:rsidRDefault="00A438C1">
      <w:pPr>
        <w:pStyle w:val="TOC1"/>
        <w:rPr>
          <w:rFonts w:asciiTheme="minorHAnsi" w:eastAsiaTheme="minorEastAsia" w:hAnsiTheme="minorHAnsi" w:cstheme="minorBidi"/>
          <w:b w:val="0"/>
          <w:sz w:val="22"/>
          <w:lang w:eastAsia="sv-SE"/>
        </w:rPr>
      </w:pPr>
      <w:r w:rsidRPr="005B6730">
        <w:rPr>
          <w:rFonts w:ascii="Calibri" w:hAnsi="Calibri" w:cs="Calibri"/>
        </w:rPr>
        <w:t>Observation 3</w:t>
      </w:r>
      <w:r w:rsidRPr="00A438C1">
        <w:rPr>
          <w:rFonts w:asciiTheme="minorHAnsi" w:eastAsiaTheme="minorEastAsia" w:hAnsiTheme="minorHAnsi" w:cstheme="minorBidi"/>
          <w:b w:val="0"/>
          <w:sz w:val="22"/>
          <w:lang w:eastAsia="sv-SE"/>
        </w:rPr>
        <w:tab/>
      </w:r>
      <w:r w:rsidRPr="005B6730">
        <w:rPr>
          <w:rFonts w:ascii="Calibri" w:hAnsi="Calibri" w:cs="Calibri"/>
        </w:rPr>
        <w:t xml:space="preserve">Delivering F1-AP/SCTP/IP via a PDN connection to the EPC is possible but would increase system complexity involving both LTE / NR </w:t>
      </w:r>
      <w:r w:rsidRPr="00A438C1">
        <w:rPr>
          <w:rFonts w:ascii="Calibri" w:hAnsi="Calibri" w:cs="Calibri"/>
          <w:sz w:val="22"/>
        </w:rPr>
        <w:t>RAN</w:t>
      </w:r>
      <w:r w:rsidRPr="005B6730">
        <w:rPr>
          <w:rFonts w:ascii="Calibri" w:hAnsi="Calibri" w:cs="Calibri"/>
        </w:rPr>
        <w:t xml:space="preserve"> and EPC.</w:t>
      </w:r>
    </w:p>
    <w:p w14:paraId="214B7248" w14:textId="09D197B9" w:rsidR="005738C8" w:rsidRPr="004C4917" w:rsidRDefault="005738C8" w:rsidP="008D09A8">
      <w:pPr>
        <w:pStyle w:val="BodyText"/>
        <w:jc w:val="left"/>
        <w:rPr>
          <w:rFonts w:asciiTheme="minorHAnsi" w:hAnsiTheme="minorHAnsi" w:cstheme="minorHAnsi"/>
          <w:b/>
          <w:bCs/>
          <w:sz w:val="22"/>
        </w:rPr>
      </w:pPr>
      <w:r w:rsidRPr="004C4917">
        <w:rPr>
          <w:rFonts w:asciiTheme="minorHAnsi" w:hAnsiTheme="minorHAnsi" w:cstheme="minorHAnsi"/>
          <w:b/>
          <w:bCs/>
          <w:sz w:val="22"/>
        </w:rPr>
        <w:fldChar w:fldCharType="end"/>
      </w:r>
    </w:p>
    <w:p w14:paraId="666C01DB" w14:textId="77777777" w:rsidR="005738C8" w:rsidRPr="004C4917" w:rsidRDefault="005738C8" w:rsidP="005738C8">
      <w:pPr>
        <w:pStyle w:val="TOC1"/>
        <w:rPr>
          <w:rFonts w:asciiTheme="minorHAnsi" w:hAnsiTheme="minorHAnsi" w:cstheme="minorHAnsi"/>
          <w:b w:val="0"/>
          <w:sz w:val="22"/>
        </w:rPr>
      </w:pPr>
      <w:r w:rsidRPr="004C4917">
        <w:rPr>
          <w:rFonts w:asciiTheme="minorHAnsi" w:hAnsiTheme="minorHAnsi" w:cstheme="minorHAnsi"/>
          <w:b w:val="0"/>
          <w:sz w:val="22"/>
        </w:rPr>
        <w:lastRenderedPageBreak/>
        <w:t>Based on the discussion in earlier sections we propose the following:</w:t>
      </w:r>
    </w:p>
    <w:p w14:paraId="58901642" w14:textId="77777777" w:rsidR="005738C8" w:rsidRPr="004C4917" w:rsidRDefault="005738C8" w:rsidP="005738C8">
      <w:pPr>
        <w:pStyle w:val="TOC1"/>
        <w:rPr>
          <w:rFonts w:asciiTheme="minorHAnsi" w:hAnsiTheme="minorHAnsi" w:cstheme="minorHAnsi"/>
          <w:sz w:val="22"/>
        </w:rPr>
      </w:pPr>
    </w:p>
    <w:p w14:paraId="4520CA6E" w14:textId="77777777" w:rsidR="00A438C1" w:rsidRPr="00A438C1" w:rsidRDefault="005738C8">
      <w:pPr>
        <w:pStyle w:val="TOC1"/>
        <w:rPr>
          <w:rFonts w:asciiTheme="minorHAnsi" w:eastAsiaTheme="minorEastAsia" w:hAnsiTheme="minorHAnsi" w:cstheme="minorBidi"/>
          <w:b w:val="0"/>
          <w:sz w:val="22"/>
          <w:lang w:eastAsia="sv-SE"/>
        </w:rPr>
      </w:pPr>
      <w:r w:rsidRPr="004C4917">
        <w:rPr>
          <w:rFonts w:asciiTheme="minorHAnsi" w:hAnsiTheme="minorHAnsi" w:cstheme="minorHAnsi"/>
          <w:b w:val="0"/>
          <w:bCs/>
          <w:sz w:val="22"/>
        </w:rPr>
        <w:fldChar w:fldCharType="begin"/>
      </w:r>
      <w:r w:rsidRPr="004C4917">
        <w:rPr>
          <w:rFonts w:asciiTheme="minorHAnsi" w:hAnsiTheme="minorHAnsi" w:cstheme="minorHAnsi"/>
          <w:bCs/>
          <w:sz w:val="22"/>
        </w:rPr>
        <w:instrText xml:space="preserve"> TOC \f \n \p " " \t "Proposal;1" </w:instrText>
      </w:r>
      <w:r w:rsidRPr="004C4917">
        <w:rPr>
          <w:rFonts w:asciiTheme="minorHAnsi" w:hAnsiTheme="minorHAnsi" w:cstheme="minorHAnsi"/>
          <w:b w:val="0"/>
          <w:bCs/>
          <w:sz w:val="22"/>
        </w:rPr>
        <w:fldChar w:fldCharType="separate"/>
      </w:r>
      <w:r w:rsidR="00A438C1" w:rsidRPr="0088497D">
        <w:rPr>
          <w:rFonts w:ascii="Calibri" w:hAnsi="Calibri" w:cs="Calibri"/>
        </w:rPr>
        <w:t>Proposal 1</w:t>
      </w:r>
      <w:r w:rsidR="00A438C1" w:rsidRPr="00A438C1">
        <w:rPr>
          <w:rFonts w:asciiTheme="minorHAnsi" w:eastAsiaTheme="minorEastAsia" w:hAnsiTheme="minorHAnsi" w:cstheme="minorBidi"/>
          <w:b w:val="0"/>
          <w:sz w:val="22"/>
          <w:lang w:eastAsia="sv-SE"/>
        </w:rPr>
        <w:tab/>
      </w:r>
      <w:r w:rsidR="00A438C1" w:rsidRPr="0088497D">
        <w:rPr>
          <w:rFonts w:ascii="Calibri" w:hAnsi="Calibri" w:cs="Calibri"/>
        </w:rPr>
        <w:t>IAB-MT-related RRC signalling should be supported via LTE leg (SRB1/2) reusing existing mechanism for handling other NR RRC Cell Group-related signalling.</w:t>
      </w:r>
    </w:p>
    <w:p w14:paraId="1602A61F" w14:textId="77777777" w:rsidR="00A438C1" w:rsidRPr="00A438C1" w:rsidRDefault="00A438C1">
      <w:pPr>
        <w:pStyle w:val="TOC1"/>
        <w:rPr>
          <w:rFonts w:asciiTheme="minorHAnsi" w:eastAsiaTheme="minorEastAsia" w:hAnsiTheme="minorHAnsi" w:cstheme="minorBidi"/>
          <w:b w:val="0"/>
          <w:sz w:val="22"/>
          <w:lang w:eastAsia="sv-SE"/>
        </w:rPr>
      </w:pPr>
      <w:r w:rsidRPr="0088497D">
        <w:rPr>
          <w:rFonts w:ascii="Calibri" w:hAnsi="Calibri" w:cs="Calibri"/>
        </w:rPr>
        <w:t>Proposal 2</w:t>
      </w:r>
      <w:r w:rsidRPr="00A438C1">
        <w:rPr>
          <w:rFonts w:asciiTheme="minorHAnsi" w:eastAsiaTheme="minorEastAsia" w:hAnsiTheme="minorHAnsi" w:cstheme="minorBidi"/>
          <w:b w:val="0"/>
          <w:sz w:val="22"/>
          <w:lang w:eastAsia="sv-SE"/>
        </w:rPr>
        <w:tab/>
      </w:r>
      <w:r w:rsidRPr="0088497D">
        <w:rPr>
          <w:rFonts w:ascii="Calibri" w:hAnsi="Calibri" w:cs="Calibri"/>
        </w:rPr>
        <w:t xml:space="preserve">The IAB node’s MT PDN </w:t>
      </w:r>
      <w:r w:rsidRPr="00A438C1">
        <w:rPr>
          <w:rFonts w:ascii="Calibri" w:hAnsi="Calibri" w:cs="Calibri"/>
          <w:sz w:val="22"/>
        </w:rPr>
        <w:t>connection</w:t>
      </w:r>
      <w:r w:rsidRPr="0088497D">
        <w:rPr>
          <w:rFonts w:ascii="Calibri" w:hAnsi="Calibri" w:cs="Calibri"/>
        </w:rPr>
        <w:t>(s) should be possible to configure over any leg MCG/SCG as normal user plane data in EN-DC, enabling the possibility to send OAM signalling via LTE for NSA IAB node deployments.</w:t>
      </w:r>
    </w:p>
    <w:p w14:paraId="7EABA3A9" w14:textId="77777777" w:rsidR="00A438C1" w:rsidRPr="00A438C1" w:rsidRDefault="00A438C1">
      <w:pPr>
        <w:pStyle w:val="TOC1"/>
        <w:rPr>
          <w:rFonts w:asciiTheme="minorHAnsi" w:eastAsiaTheme="minorEastAsia" w:hAnsiTheme="minorHAnsi" w:cstheme="minorBidi"/>
          <w:b w:val="0"/>
          <w:sz w:val="22"/>
          <w:lang w:eastAsia="sv-SE"/>
        </w:rPr>
      </w:pPr>
      <w:r w:rsidRPr="0088497D">
        <w:rPr>
          <w:rFonts w:ascii="Calibri" w:hAnsi="Calibri" w:cs="Calibri"/>
        </w:rPr>
        <w:t>Proposal 3</w:t>
      </w:r>
      <w:r w:rsidRPr="00A438C1">
        <w:rPr>
          <w:rFonts w:asciiTheme="minorHAnsi" w:eastAsiaTheme="minorEastAsia" w:hAnsiTheme="minorHAnsi" w:cstheme="minorBidi"/>
          <w:b w:val="0"/>
          <w:sz w:val="22"/>
          <w:lang w:eastAsia="sv-SE"/>
        </w:rPr>
        <w:tab/>
      </w:r>
      <w:r w:rsidRPr="0088497D">
        <w:rPr>
          <w:rFonts w:ascii="Calibri" w:hAnsi="Calibri" w:cs="Calibri"/>
        </w:rPr>
        <w:t>Given the identified complexities in supporting F1-AP via LTE MCG leg in NSA deployments it is sufficient to limit the IAB node signalling via LTE in Rel-16 to only MT’s RRC and PDN connections and support F1-C only via NR SCG leg, similar to F1-U.</w:t>
      </w:r>
    </w:p>
    <w:p w14:paraId="3C0F28EA" w14:textId="73B014F4" w:rsidR="000D1084" w:rsidRDefault="005738C8" w:rsidP="00AA0471">
      <w:r w:rsidRPr="004C4917">
        <w:rPr>
          <w:rFonts w:asciiTheme="minorHAnsi" w:hAnsiTheme="minorHAnsi" w:cstheme="minorHAnsi"/>
          <w:sz w:val="22"/>
        </w:rPr>
        <w:fldChar w:fldCharType="end"/>
      </w:r>
    </w:p>
    <w:p w14:paraId="5CE710B8" w14:textId="7EF5A30B" w:rsidR="000D1084" w:rsidRPr="004C4917" w:rsidRDefault="004C4917" w:rsidP="000D1084">
      <w:pPr>
        <w:pStyle w:val="Heading1"/>
        <w:numPr>
          <w:ilvl w:val="0"/>
          <w:numId w:val="0"/>
        </w:numPr>
        <w:ind w:left="432" w:hanging="432"/>
        <w:rPr>
          <w:rFonts w:asciiTheme="minorHAnsi" w:hAnsiTheme="minorHAnsi" w:cstheme="minorHAnsi"/>
        </w:rPr>
      </w:pPr>
      <w:r w:rsidRPr="004C4917">
        <w:rPr>
          <w:rFonts w:asciiTheme="minorHAnsi" w:hAnsiTheme="minorHAnsi" w:cstheme="minorHAnsi"/>
        </w:rPr>
        <w:t>4</w:t>
      </w:r>
      <w:r w:rsidRPr="004C4917">
        <w:rPr>
          <w:rFonts w:asciiTheme="minorHAnsi" w:hAnsiTheme="minorHAnsi" w:cstheme="minorHAnsi"/>
        </w:rPr>
        <w:tab/>
      </w:r>
      <w:r w:rsidR="000D1084" w:rsidRPr="004C4917">
        <w:rPr>
          <w:rFonts w:asciiTheme="minorHAnsi" w:hAnsiTheme="minorHAnsi" w:cstheme="minorHAnsi"/>
        </w:rPr>
        <w:t>References</w:t>
      </w:r>
    </w:p>
    <w:p w14:paraId="60D4D317" w14:textId="3FA78B9E" w:rsidR="000D1084" w:rsidRPr="004C4917" w:rsidRDefault="000D1084" w:rsidP="00331E8C">
      <w:pPr>
        <w:ind w:left="567" w:hanging="567"/>
        <w:rPr>
          <w:rFonts w:asciiTheme="minorHAnsi" w:hAnsiTheme="minorHAnsi" w:cstheme="minorHAnsi"/>
          <w:sz w:val="22"/>
        </w:rPr>
      </w:pPr>
      <w:r w:rsidRPr="004C4917">
        <w:rPr>
          <w:rFonts w:asciiTheme="minorHAnsi" w:hAnsiTheme="minorHAnsi" w:cstheme="minorHAnsi"/>
          <w:sz w:val="22"/>
        </w:rPr>
        <w:t>[1]</w:t>
      </w:r>
      <w:r w:rsidRPr="004C4917">
        <w:rPr>
          <w:rFonts w:asciiTheme="minorHAnsi" w:hAnsiTheme="minorHAnsi" w:cstheme="minorHAnsi"/>
          <w:sz w:val="22"/>
        </w:rPr>
        <w:tab/>
        <w:t>R2-1907377</w:t>
      </w:r>
      <w:r w:rsidR="00E31C1B" w:rsidRPr="004C4917">
        <w:rPr>
          <w:rFonts w:asciiTheme="minorHAnsi" w:hAnsiTheme="minorHAnsi" w:cstheme="minorHAnsi"/>
          <w:sz w:val="22"/>
        </w:rPr>
        <w:t xml:space="preserve">, “Delivery of control plane </w:t>
      </w:r>
      <w:proofErr w:type="spellStart"/>
      <w:r w:rsidR="00E31C1B" w:rsidRPr="004C4917">
        <w:rPr>
          <w:rFonts w:asciiTheme="minorHAnsi" w:hAnsiTheme="minorHAnsi" w:cstheme="minorHAnsi"/>
          <w:sz w:val="22"/>
        </w:rPr>
        <w:t>signaling</w:t>
      </w:r>
      <w:proofErr w:type="spellEnd"/>
      <w:r w:rsidR="00E31C1B" w:rsidRPr="004C4917">
        <w:rPr>
          <w:rFonts w:asciiTheme="minorHAnsi" w:hAnsiTheme="minorHAnsi" w:cstheme="minorHAnsi"/>
          <w:sz w:val="22"/>
        </w:rPr>
        <w:t xml:space="preserve"> to IAB nodes in NSA deployment”, AT&amp;T</w:t>
      </w:r>
      <w:r w:rsidR="00331E8C">
        <w:rPr>
          <w:rFonts w:asciiTheme="minorHAnsi" w:hAnsiTheme="minorHAnsi" w:cstheme="minorHAnsi"/>
          <w:sz w:val="22"/>
        </w:rPr>
        <w:t>, RAN2#106, May 2019.</w:t>
      </w:r>
    </w:p>
    <w:p w14:paraId="02277DB1" w14:textId="3E9DB686" w:rsidR="000D1084" w:rsidRPr="004C4917" w:rsidRDefault="0039066C" w:rsidP="000D1084">
      <w:pPr>
        <w:rPr>
          <w:rFonts w:asciiTheme="minorHAnsi" w:hAnsiTheme="minorHAnsi" w:cstheme="minorHAnsi"/>
          <w:sz w:val="22"/>
        </w:rPr>
      </w:pPr>
      <w:r w:rsidRPr="004C4917">
        <w:rPr>
          <w:rFonts w:asciiTheme="minorHAnsi" w:hAnsiTheme="minorHAnsi" w:cstheme="minorHAnsi"/>
          <w:sz w:val="22"/>
          <w:lang w:val="en-US" w:eastAsia="en-US"/>
        </w:rPr>
        <w:t>[2]</w:t>
      </w:r>
      <w:r w:rsidRPr="004C4917">
        <w:rPr>
          <w:rFonts w:asciiTheme="minorHAnsi" w:hAnsiTheme="minorHAnsi" w:cstheme="minorHAnsi"/>
          <w:sz w:val="22"/>
          <w:lang w:val="en-US" w:eastAsia="en-US"/>
        </w:rPr>
        <w:tab/>
      </w:r>
      <w:r w:rsidRPr="004C4917">
        <w:rPr>
          <w:rFonts w:asciiTheme="minorHAnsi" w:hAnsiTheme="minorHAnsi" w:cstheme="minorHAnsi"/>
          <w:sz w:val="22"/>
        </w:rPr>
        <w:t>R2-1906537</w:t>
      </w:r>
      <w:r w:rsidR="00E31C1B" w:rsidRPr="004C4917">
        <w:rPr>
          <w:rFonts w:asciiTheme="minorHAnsi" w:hAnsiTheme="minorHAnsi" w:cstheme="minorHAnsi"/>
          <w:sz w:val="22"/>
        </w:rPr>
        <w:t xml:space="preserve">, </w:t>
      </w:r>
      <w:r w:rsidR="00A74893" w:rsidRPr="004C4917">
        <w:rPr>
          <w:rFonts w:asciiTheme="minorHAnsi" w:hAnsiTheme="minorHAnsi" w:cstheme="minorHAnsi"/>
          <w:sz w:val="22"/>
        </w:rPr>
        <w:t xml:space="preserve">“IAB with NSA operation”, </w:t>
      </w:r>
      <w:r w:rsidR="009940DA" w:rsidRPr="004C4917">
        <w:rPr>
          <w:rFonts w:asciiTheme="minorHAnsi" w:hAnsiTheme="minorHAnsi" w:cstheme="minorHAnsi"/>
          <w:sz w:val="22"/>
        </w:rPr>
        <w:t>KDDI Corporation, AT&amp;T</w:t>
      </w:r>
      <w:r w:rsidR="00331E8C">
        <w:rPr>
          <w:rFonts w:asciiTheme="minorHAnsi" w:hAnsiTheme="minorHAnsi" w:cstheme="minorHAnsi"/>
          <w:sz w:val="22"/>
        </w:rPr>
        <w:t>, RAN2#106, May 2019.</w:t>
      </w:r>
    </w:p>
    <w:p w14:paraId="2D5C03F6" w14:textId="3B75094F" w:rsidR="0039066C" w:rsidRPr="004C4917" w:rsidRDefault="0039066C" w:rsidP="00331E8C">
      <w:pPr>
        <w:ind w:left="567" w:hanging="567"/>
        <w:rPr>
          <w:rFonts w:asciiTheme="minorHAnsi" w:hAnsiTheme="minorHAnsi" w:cstheme="minorHAnsi"/>
          <w:sz w:val="22"/>
        </w:rPr>
      </w:pPr>
      <w:r w:rsidRPr="004C4917">
        <w:rPr>
          <w:rFonts w:asciiTheme="minorHAnsi" w:hAnsiTheme="minorHAnsi" w:cstheme="minorHAnsi"/>
          <w:sz w:val="22"/>
        </w:rPr>
        <w:t>[3]</w:t>
      </w:r>
      <w:r w:rsidRPr="004C4917">
        <w:rPr>
          <w:rFonts w:asciiTheme="minorHAnsi" w:hAnsiTheme="minorHAnsi" w:cstheme="minorHAnsi"/>
          <w:sz w:val="22"/>
        </w:rPr>
        <w:tab/>
        <w:t>R2-1906074</w:t>
      </w:r>
      <w:r w:rsidR="009940DA" w:rsidRPr="004C4917">
        <w:rPr>
          <w:rFonts w:asciiTheme="minorHAnsi" w:hAnsiTheme="minorHAnsi" w:cstheme="minorHAnsi"/>
          <w:sz w:val="22"/>
        </w:rPr>
        <w:t>, “</w:t>
      </w:r>
      <w:r w:rsidR="00F064AF" w:rsidRPr="004C4917">
        <w:rPr>
          <w:rFonts w:asciiTheme="minorHAnsi" w:hAnsiTheme="minorHAnsi" w:cstheme="minorHAnsi"/>
          <w:sz w:val="22"/>
        </w:rPr>
        <w:t>Discussion on IAB NSA procedure and SRB transmission (option c)</w:t>
      </w:r>
      <w:r w:rsidR="00E23F32" w:rsidRPr="004C4917">
        <w:rPr>
          <w:rFonts w:asciiTheme="minorHAnsi" w:hAnsiTheme="minorHAnsi" w:cstheme="minorHAnsi"/>
          <w:sz w:val="22"/>
        </w:rPr>
        <w:t xml:space="preserve">”, Huawei, </w:t>
      </w:r>
      <w:proofErr w:type="spellStart"/>
      <w:r w:rsidR="00E23F32" w:rsidRPr="004C4917">
        <w:rPr>
          <w:rFonts w:asciiTheme="minorHAnsi" w:hAnsiTheme="minorHAnsi" w:cstheme="minorHAnsi"/>
          <w:sz w:val="22"/>
        </w:rPr>
        <w:t>HiSilicon</w:t>
      </w:r>
      <w:proofErr w:type="spellEnd"/>
      <w:r w:rsidR="00331E8C">
        <w:rPr>
          <w:rFonts w:asciiTheme="minorHAnsi" w:hAnsiTheme="minorHAnsi" w:cstheme="minorHAnsi"/>
          <w:sz w:val="22"/>
        </w:rPr>
        <w:t xml:space="preserve">, </w:t>
      </w:r>
      <w:bookmarkStart w:id="25" w:name="_GoBack"/>
      <w:bookmarkEnd w:id="25"/>
      <w:r w:rsidR="00331E8C">
        <w:rPr>
          <w:rFonts w:asciiTheme="minorHAnsi" w:hAnsiTheme="minorHAnsi" w:cstheme="minorHAnsi"/>
          <w:sz w:val="22"/>
        </w:rPr>
        <w:t>RAN2#106, May 2019.</w:t>
      </w:r>
    </w:p>
    <w:p w14:paraId="36A887A6" w14:textId="6B101D50" w:rsidR="0039066C" w:rsidRPr="004C4917" w:rsidRDefault="0039066C" w:rsidP="000D1084">
      <w:pPr>
        <w:rPr>
          <w:rFonts w:asciiTheme="minorHAnsi" w:hAnsiTheme="minorHAnsi" w:cstheme="minorHAnsi"/>
          <w:sz w:val="22"/>
          <w:lang w:val="sv-SE"/>
        </w:rPr>
      </w:pPr>
      <w:r w:rsidRPr="004C4917">
        <w:rPr>
          <w:rFonts w:asciiTheme="minorHAnsi" w:hAnsiTheme="minorHAnsi" w:cstheme="minorHAnsi"/>
          <w:sz w:val="22"/>
          <w:lang w:val="sv-SE"/>
        </w:rPr>
        <w:t>[4]</w:t>
      </w:r>
      <w:r w:rsidRPr="004C4917">
        <w:rPr>
          <w:rFonts w:asciiTheme="minorHAnsi" w:hAnsiTheme="minorHAnsi" w:cstheme="minorHAnsi"/>
          <w:sz w:val="22"/>
          <w:lang w:val="sv-SE"/>
        </w:rPr>
        <w:tab/>
      </w:r>
      <w:r w:rsidR="00A11874" w:rsidRPr="004C4917">
        <w:rPr>
          <w:rFonts w:asciiTheme="minorHAnsi" w:hAnsiTheme="minorHAnsi" w:cstheme="minorHAnsi"/>
          <w:sz w:val="22"/>
          <w:lang w:val="sv-SE"/>
        </w:rPr>
        <w:t>R2-1908028, “EN-DC support in IAB”, Samsung R&amp;D Institute UK</w:t>
      </w:r>
      <w:r w:rsidR="00331E8C">
        <w:rPr>
          <w:rFonts w:asciiTheme="minorHAnsi" w:hAnsiTheme="minorHAnsi" w:cstheme="minorHAnsi"/>
          <w:sz w:val="22"/>
        </w:rPr>
        <w:t>, RAN2#106, May 2019.</w:t>
      </w:r>
    </w:p>
    <w:sectPr w:rsidR="0039066C" w:rsidRPr="004C49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F8F06" w14:textId="77777777" w:rsidR="00187D87" w:rsidRDefault="00187D87">
      <w:r>
        <w:separator/>
      </w:r>
    </w:p>
  </w:endnote>
  <w:endnote w:type="continuationSeparator" w:id="0">
    <w:p w14:paraId="3D25EA86" w14:textId="77777777" w:rsidR="00187D87" w:rsidRDefault="00187D87">
      <w:r>
        <w:continuationSeparator/>
      </w:r>
    </w:p>
  </w:endnote>
  <w:endnote w:type="continuationNotice" w:id="1">
    <w:p w14:paraId="6F8794C5" w14:textId="77777777" w:rsidR="00187D87" w:rsidRDefault="00187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152E5" w14:textId="77777777" w:rsidR="00187D87" w:rsidRDefault="00187D87">
      <w:r>
        <w:separator/>
      </w:r>
    </w:p>
  </w:footnote>
  <w:footnote w:type="continuationSeparator" w:id="0">
    <w:p w14:paraId="2EA80366" w14:textId="77777777" w:rsidR="00187D87" w:rsidRDefault="00187D87">
      <w:r>
        <w:continuationSeparator/>
      </w:r>
    </w:p>
  </w:footnote>
  <w:footnote w:type="continuationNotice" w:id="1">
    <w:p w14:paraId="087B500D" w14:textId="77777777" w:rsidR="00187D87" w:rsidRDefault="00187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6950D8"/>
    <w:multiLevelType w:val="hybridMultilevel"/>
    <w:tmpl w:val="14486248"/>
    <w:lvl w:ilvl="0" w:tplc="F4C49AC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4"/>
  </w:num>
  <w:num w:numId="4">
    <w:abstractNumId w:val="16"/>
  </w:num>
  <w:num w:numId="5">
    <w:abstractNumId w:val="12"/>
  </w:num>
  <w:num w:numId="6">
    <w:abstractNumId w:val="18"/>
  </w:num>
  <w:num w:numId="7">
    <w:abstractNumId w:val="24"/>
  </w:num>
  <w:num w:numId="8">
    <w:abstractNumId w:val="13"/>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6"/>
  </w:num>
  <w:num w:numId="17">
    <w:abstractNumId w:val="23"/>
  </w:num>
  <w:num w:numId="18">
    <w:abstractNumId w:val="15"/>
  </w:num>
  <w:num w:numId="19">
    <w:abstractNumId w:val="17"/>
  </w:num>
  <w:num w:numId="20">
    <w:abstractNumId w:val="4"/>
  </w:num>
  <w:num w:numId="21">
    <w:abstractNumId w:val="11"/>
  </w:num>
  <w:num w:numId="22">
    <w:abstractNumId w:val="27"/>
  </w:num>
  <w:num w:numId="23">
    <w:abstractNumId w:val="9"/>
  </w:num>
  <w:num w:numId="24">
    <w:abstractNumId w:val="21"/>
  </w:num>
  <w:num w:numId="25">
    <w:abstractNumId w:val="7"/>
  </w:num>
  <w:num w:numId="26">
    <w:abstractNumId w:val="28"/>
  </w:num>
  <w:num w:numId="27">
    <w:abstractNumId w:val="14"/>
  </w:num>
  <w:num w:numId="28">
    <w:abstractNumId w:val="19"/>
  </w:num>
  <w:num w:numId="29">
    <w:abstractNumId w:val="26"/>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3F9"/>
    <w:rsid w:val="000024BF"/>
    <w:rsid w:val="00002A37"/>
    <w:rsid w:val="000039F4"/>
    <w:rsid w:val="00003B93"/>
    <w:rsid w:val="000056F6"/>
    <w:rsid w:val="000057CD"/>
    <w:rsid w:val="00006446"/>
    <w:rsid w:val="00006896"/>
    <w:rsid w:val="00007464"/>
    <w:rsid w:val="00007CDC"/>
    <w:rsid w:val="00011B28"/>
    <w:rsid w:val="00015851"/>
    <w:rsid w:val="00015D15"/>
    <w:rsid w:val="000165FE"/>
    <w:rsid w:val="00020E1D"/>
    <w:rsid w:val="00022B40"/>
    <w:rsid w:val="00022D66"/>
    <w:rsid w:val="00024038"/>
    <w:rsid w:val="0002564D"/>
    <w:rsid w:val="00025ECA"/>
    <w:rsid w:val="00026E57"/>
    <w:rsid w:val="000325B8"/>
    <w:rsid w:val="00033899"/>
    <w:rsid w:val="00034C15"/>
    <w:rsid w:val="000353F1"/>
    <w:rsid w:val="00036BA1"/>
    <w:rsid w:val="00041730"/>
    <w:rsid w:val="000422E2"/>
    <w:rsid w:val="00042310"/>
    <w:rsid w:val="00042F22"/>
    <w:rsid w:val="0004424E"/>
    <w:rsid w:val="000444EF"/>
    <w:rsid w:val="0004775E"/>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49BB"/>
    <w:rsid w:val="00076B23"/>
    <w:rsid w:val="000772D0"/>
    <w:rsid w:val="00077E5F"/>
    <w:rsid w:val="0008036A"/>
    <w:rsid w:val="00081AE6"/>
    <w:rsid w:val="00081DD6"/>
    <w:rsid w:val="0008279A"/>
    <w:rsid w:val="000844EF"/>
    <w:rsid w:val="000855EB"/>
    <w:rsid w:val="00085B52"/>
    <w:rsid w:val="00085DE3"/>
    <w:rsid w:val="000866F2"/>
    <w:rsid w:val="000879BD"/>
    <w:rsid w:val="0009009F"/>
    <w:rsid w:val="00091557"/>
    <w:rsid w:val="000924C1"/>
    <w:rsid w:val="000924F0"/>
    <w:rsid w:val="00093474"/>
    <w:rsid w:val="0009510F"/>
    <w:rsid w:val="00095F27"/>
    <w:rsid w:val="000968E9"/>
    <w:rsid w:val="000A1B7B"/>
    <w:rsid w:val="000A56F2"/>
    <w:rsid w:val="000A6801"/>
    <w:rsid w:val="000A708D"/>
    <w:rsid w:val="000B2719"/>
    <w:rsid w:val="000B3836"/>
    <w:rsid w:val="000B3A8F"/>
    <w:rsid w:val="000B4AB9"/>
    <w:rsid w:val="000B58C3"/>
    <w:rsid w:val="000B61E9"/>
    <w:rsid w:val="000C165A"/>
    <w:rsid w:val="000C1D64"/>
    <w:rsid w:val="000C2E19"/>
    <w:rsid w:val="000C5AF3"/>
    <w:rsid w:val="000D0D07"/>
    <w:rsid w:val="000D1084"/>
    <w:rsid w:val="000D28A0"/>
    <w:rsid w:val="000D2F48"/>
    <w:rsid w:val="000D4797"/>
    <w:rsid w:val="000D6AF6"/>
    <w:rsid w:val="000E0527"/>
    <w:rsid w:val="000E1E21"/>
    <w:rsid w:val="000E1E92"/>
    <w:rsid w:val="000E2FAD"/>
    <w:rsid w:val="000E7E02"/>
    <w:rsid w:val="000F06D6"/>
    <w:rsid w:val="000F0EB1"/>
    <w:rsid w:val="000F1106"/>
    <w:rsid w:val="000F3BE9"/>
    <w:rsid w:val="000F3F6C"/>
    <w:rsid w:val="000F5E58"/>
    <w:rsid w:val="000F6DF3"/>
    <w:rsid w:val="001005FF"/>
    <w:rsid w:val="00100926"/>
    <w:rsid w:val="001062FB"/>
    <w:rsid w:val="001063E6"/>
    <w:rsid w:val="00110472"/>
    <w:rsid w:val="0011050D"/>
    <w:rsid w:val="00112A0A"/>
    <w:rsid w:val="00113CF4"/>
    <w:rsid w:val="001153EA"/>
    <w:rsid w:val="00115643"/>
    <w:rsid w:val="00116765"/>
    <w:rsid w:val="001208D9"/>
    <w:rsid w:val="001219F5"/>
    <w:rsid w:val="00121A20"/>
    <w:rsid w:val="0012377F"/>
    <w:rsid w:val="00124314"/>
    <w:rsid w:val="001246D6"/>
    <w:rsid w:val="00126B4A"/>
    <w:rsid w:val="00132E13"/>
    <w:rsid w:val="00132FD0"/>
    <w:rsid w:val="001344C0"/>
    <w:rsid w:val="001346FA"/>
    <w:rsid w:val="00135252"/>
    <w:rsid w:val="001369BD"/>
    <w:rsid w:val="00136CE5"/>
    <w:rsid w:val="00137AB5"/>
    <w:rsid w:val="00137F0B"/>
    <w:rsid w:val="00141D6A"/>
    <w:rsid w:val="00147C26"/>
    <w:rsid w:val="00151E23"/>
    <w:rsid w:val="0015242E"/>
    <w:rsid w:val="001526E0"/>
    <w:rsid w:val="00153BD2"/>
    <w:rsid w:val="001551B5"/>
    <w:rsid w:val="001659C1"/>
    <w:rsid w:val="00173A8E"/>
    <w:rsid w:val="00175753"/>
    <w:rsid w:val="00177795"/>
    <w:rsid w:val="001779F8"/>
    <w:rsid w:val="0018143F"/>
    <w:rsid w:val="0018198C"/>
    <w:rsid w:val="00182171"/>
    <w:rsid w:val="00187D87"/>
    <w:rsid w:val="0019011B"/>
    <w:rsid w:val="00190AC1"/>
    <w:rsid w:val="0019341A"/>
    <w:rsid w:val="00197DF9"/>
    <w:rsid w:val="001A1987"/>
    <w:rsid w:val="001A1B45"/>
    <w:rsid w:val="001A2564"/>
    <w:rsid w:val="001A2B57"/>
    <w:rsid w:val="001A3628"/>
    <w:rsid w:val="001A5475"/>
    <w:rsid w:val="001A6173"/>
    <w:rsid w:val="001A6CBA"/>
    <w:rsid w:val="001A7DBB"/>
    <w:rsid w:val="001B0D97"/>
    <w:rsid w:val="001B18A9"/>
    <w:rsid w:val="001B4C2A"/>
    <w:rsid w:val="001B5A5D"/>
    <w:rsid w:val="001B5F98"/>
    <w:rsid w:val="001B6D5E"/>
    <w:rsid w:val="001C02D4"/>
    <w:rsid w:val="001C0D57"/>
    <w:rsid w:val="001C1CE5"/>
    <w:rsid w:val="001C3D2A"/>
    <w:rsid w:val="001C5B12"/>
    <w:rsid w:val="001C6876"/>
    <w:rsid w:val="001D3613"/>
    <w:rsid w:val="001D49AD"/>
    <w:rsid w:val="001D51BA"/>
    <w:rsid w:val="001D53C9"/>
    <w:rsid w:val="001D6342"/>
    <w:rsid w:val="001D678E"/>
    <w:rsid w:val="001D6D53"/>
    <w:rsid w:val="001E09B1"/>
    <w:rsid w:val="001E2108"/>
    <w:rsid w:val="001E58E2"/>
    <w:rsid w:val="001E6EC7"/>
    <w:rsid w:val="001E7AED"/>
    <w:rsid w:val="001F0943"/>
    <w:rsid w:val="001F3916"/>
    <w:rsid w:val="001F54C5"/>
    <w:rsid w:val="001F662C"/>
    <w:rsid w:val="001F7074"/>
    <w:rsid w:val="001F7588"/>
    <w:rsid w:val="00200490"/>
    <w:rsid w:val="00201F3A"/>
    <w:rsid w:val="00202690"/>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408B"/>
    <w:rsid w:val="002252C3"/>
    <w:rsid w:val="00225C54"/>
    <w:rsid w:val="002270D0"/>
    <w:rsid w:val="00230765"/>
    <w:rsid w:val="002319E4"/>
    <w:rsid w:val="0023222F"/>
    <w:rsid w:val="00232307"/>
    <w:rsid w:val="002326B2"/>
    <w:rsid w:val="00232D70"/>
    <w:rsid w:val="00234193"/>
    <w:rsid w:val="00235632"/>
    <w:rsid w:val="00235872"/>
    <w:rsid w:val="00241559"/>
    <w:rsid w:val="002435B3"/>
    <w:rsid w:val="00243FAD"/>
    <w:rsid w:val="002458EB"/>
    <w:rsid w:val="002500C8"/>
    <w:rsid w:val="002527D8"/>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805F5"/>
    <w:rsid w:val="00280751"/>
    <w:rsid w:val="00280DD1"/>
    <w:rsid w:val="0028280A"/>
    <w:rsid w:val="00286ACD"/>
    <w:rsid w:val="00287838"/>
    <w:rsid w:val="002907B5"/>
    <w:rsid w:val="0029194A"/>
    <w:rsid w:val="002922AE"/>
    <w:rsid w:val="00292EB7"/>
    <w:rsid w:val="00294F9A"/>
    <w:rsid w:val="00296227"/>
    <w:rsid w:val="00296F44"/>
    <w:rsid w:val="0029777D"/>
    <w:rsid w:val="00297EA7"/>
    <w:rsid w:val="002A055E"/>
    <w:rsid w:val="002A1D4E"/>
    <w:rsid w:val="002A2041"/>
    <w:rsid w:val="002A2450"/>
    <w:rsid w:val="002A2869"/>
    <w:rsid w:val="002A6FAE"/>
    <w:rsid w:val="002A7462"/>
    <w:rsid w:val="002B24D6"/>
    <w:rsid w:val="002B2B7E"/>
    <w:rsid w:val="002C0564"/>
    <w:rsid w:val="002C0ADC"/>
    <w:rsid w:val="002C41E6"/>
    <w:rsid w:val="002C4206"/>
    <w:rsid w:val="002C5027"/>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4D23"/>
    <w:rsid w:val="00325917"/>
    <w:rsid w:val="00325E4E"/>
    <w:rsid w:val="00327E3D"/>
    <w:rsid w:val="00331751"/>
    <w:rsid w:val="00331E8C"/>
    <w:rsid w:val="00334579"/>
    <w:rsid w:val="0033545A"/>
    <w:rsid w:val="00335858"/>
    <w:rsid w:val="00336A70"/>
    <w:rsid w:val="00336BDA"/>
    <w:rsid w:val="00342BD7"/>
    <w:rsid w:val="00343A07"/>
    <w:rsid w:val="003465DD"/>
    <w:rsid w:val="00346DB5"/>
    <w:rsid w:val="003477B1"/>
    <w:rsid w:val="0035006F"/>
    <w:rsid w:val="0035491B"/>
    <w:rsid w:val="00357380"/>
    <w:rsid w:val="003602D9"/>
    <w:rsid w:val="003604CE"/>
    <w:rsid w:val="00360950"/>
    <w:rsid w:val="00365650"/>
    <w:rsid w:val="00370E47"/>
    <w:rsid w:val="003742AC"/>
    <w:rsid w:val="00375463"/>
    <w:rsid w:val="0037677B"/>
    <w:rsid w:val="00377CE1"/>
    <w:rsid w:val="00382707"/>
    <w:rsid w:val="00383D46"/>
    <w:rsid w:val="00385BF0"/>
    <w:rsid w:val="00385CF6"/>
    <w:rsid w:val="00385EFC"/>
    <w:rsid w:val="0039066C"/>
    <w:rsid w:val="00390930"/>
    <w:rsid w:val="00393814"/>
    <w:rsid w:val="003939FF"/>
    <w:rsid w:val="003A2223"/>
    <w:rsid w:val="003A2A0F"/>
    <w:rsid w:val="003A2A52"/>
    <w:rsid w:val="003A45A1"/>
    <w:rsid w:val="003A5B0A"/>
    <w:rsid w:val="003A611E"/>
    <w:rsid w:val="003A6BAC"/>
    <w:rsid w:val="003A7EF3"/>
    <w:rsid w:val="003B0981"/>
    <w:rsid w:val="003B0FFA"/>
    <w:rsid w:val="003B159C"/>
    <w:rsid w:val="003B1AE5"/>
    <w:rsid w:val="003B369F"/>
    <w:rsid w:val="003B36A3"/>
    <w:rsid w:val="003B45F2"/>
    <w:rsid w:val="003B460B"/>
    <w:rsid w:val="003B7FE5"/>
    <w:rsid w:val="003C072A"/>
    <w:rsid w:val="003C11C8"/>
    <w:rsid w:val="003C2702"/>
    <w:rsid w:val="003C4CC3"/>
    <w:rsid w:val="003C50D4"/>
    <w:rsid w:val="003C63D4"/>
    <w:rsid w:val="003C73D7"/>
    <w:rsid w:val="003C7806"/>
    <w:rsid w:val="003D109F"/>
    <w:rsid w:val="003D2478"/>
    <w:rsid w:val="003D38F5"/>
    <w:rsid w:val="003D3C45"/>
    <w:rsid w:val="003D3CD6"/>
    <w:rsid w:val="003D5803"/>
    <w:rsid w:val="003D5B1F"/>
    <w:rsid w:val="003D6B67"/>
    <w:rsid w:val="003D7269"/>
    <w:rsid w:val="003D7CE5"/>
    <w:rsid w:val="003E15FA"/>
    <w:rsid w:val="003E3A92"/>
    <w:rsid w:val="003E55E4"/>
    <w:rsid w:val="003E74E3"/>
    <w:rsid w:val="003E7B80"/>
    <w:rsid w:val="003F05C7"/>
    <w:rsid w:val="003F1C69"/>
    <w:rsid w:val="003F2CD4"/>
    <w:rsid w:val="003F6BBE"/>
    <w:rsid w:val="003F7E86"/>
    <w:rsid w:val="004000E8"/>
    <w:rsid w:val="00400AF6"/>
    <w:rsid w:val="00402E2B"/>
    <w:rsid w:val="0040512B"/>
    <w:rsid w:val="00405CA5"/>
    <w:rsid w:val="00406018"/>
    <w:rsid w:val="00407CD3"/>
    <w:rsid w:val="00410134"/>
    <w:rsid w:val="00410B72"/>
    <w:rsid w:val="00410F18"/>
    <w:rsid w:val="0041263E"/>
    <w:rsid w:val="00413AAC"/>
    <w:rsid w:val="004157EF"/>
    <w:rsid w:val="00415AA3"/>
    <w:rsid w:val="00416053"/>
    <w:rsid w:val="0041614E"/>
    <w:rsid w:val="00416E00"/>
    <w:rsid w:val="00420368"/>
    <w:rsid w:val="00421105"/>
    <w:rsid w:val="00422150"/>
    <w:rsid w:val="004242F4"/>
    <w:rsid w:val="00427248"/>
    <w:rsid w:val="00430C66"/>
    <w:rsid w:val="00432F95"/>
    <w:rsid w:val="00437447"/>
    <w:rsid w:val="00441476"/>
    <w:rsid w:val="00441A92"/>
    <w:rsid w:val="00444F56"/>
    <w:rsid w:val="00446488"/>
    <w:rsid w:val="004517AA"/>
    <w:rsid w:val="00452CAC"/>
    <w:rsid w:val="004556F8"/>
    <w:rsid w:val="004568F3"/>
    <w:rsid w:val="00456B11"/>
    <w:rsid w:val="00457565"/>
    <w:rsid w:val="00457B71"/>
    <w:rsid w:val="00461641"/>
    <w:rsid w:val="004640B7"/>
    <w:rsid w:val="00464339"/>
    <w:rsid w:val="0046531F"/>
    <w:rsid w:val="00465F53"/>
    <w:rsid w:val="004669E2"/>
    <w:rsid w:val="0047096B"/>
    <w:rsid w:val="00470C31"/>
    <w:rsid w:val="004734D0"/>
    <w:rsid w:val="0047556B"/>
    <w:rsid w:val="004755DC"/>
    <w:rsid w:val="0047586D"/>
    <w:rsid w:val="00477768"/>
    <w:rsid w:val="00480FE8"/>
    <w:rsid w:val="004819EE"/>
    <w:rsid w:val="0048280E"/>
    <w:rsid w:val="00484298"/>
    <w:rsid w:val="00487EEC"/>
    <w:rsid w:val="004918EE"/>
    <w:rsid w:val="00492BC5"/>
    <w:rsid w:val="00493C06"/>
    <w:rsid w:val="00494B9F"/>
    <w:rsid w:val="00494EA0"/>
    <w:rsid w:val="00495FFF"/>
    <w:rsid w:val="004964F1"/>
    <w:rsid w:val="00497453"/>
    <w:rsid w:val="004A16BC"/>
    <w:rsid w:val="004A2B94"/>
    <w:rsid w:val="004A4894"/>
    <w:rsid w:val="004B06A6"/>
    <w:rsid w:val="004B6A63"/>
    <w:rsid w:val="004B7C0C"/>
    <w:rsid w:val="004C0568"/>
    <w:rsid w:val="004C2DB9"/>
    <w:rsid w:val="004C3898"/>
    <w:rsid w:val="004C39CF"/>
    <w:rsid w:val="004C4917"/>
    <w:rsid w:val="004C6A44"/>
    <w:rsid w:val="004D1AFA"/>
    <w:rsid w:val="004D36B1"/>
    <w:rsid w:val="004D7149"/>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2E2C"/>
    <w:rsid w:val="005131B8"/>
    <w:rsid w:val="005153A7"/>
    <w:rsid w:val="0051783A"/>
    <w:rsid w:val="005219CF"/>
    <w:rsid w:val="0052690B"/>
    <w:rsid w:val="00533D70"/>
    <w:rsid w:val="00533F9A"/>
    <w:rsid w:val="00534B59"/>
    <w:rsid w:val="00536759"/>
    <w:rsid w:val="00537C62"/>
    <w:rsid w:val="00541106"/>
    <w:rsid w:val="00541D09"/>
    <w:rsid w:val="00546970"/>
    <w:rsid w:val="00547532"/>
    <w:rsid w:val="00554E19"/>
    <w:rsid w:val="0056121F"/>
    <w:rsid w:val="00562438"/>
    <w:rsid w:val="0056463D"/>
    <w:rsid w:val="00570204"/>
    <w:rsid w:val="00572505"/>
    <w:rsid w:val="00572D51"/>
    <w:rsid w:val="005738C8"/>
    <w:rsid w:val="00573A5E"/>
    <w:rsid w:val="0057509B"/>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261D"/>
    <w:rsid w:val="005B35D7"/>
    <w:rsid w:val="005B392A"/>
    <w:rsid w:val="005B3AA3"/>
    <w:rsid w:val="005B4919"/>
    <w:rsid w:val="005B591A"/>
    <w:rsid w:val="005B6F83"/>
    <w:rsid w:val="005C0220"/>
    <w:rsid w:val="005C74FB"/>
    <w:rsid w:val="005D1602"/>
    <w:rsid w:val="005E2306"/>
    <w:rsid w:val="005E299C"/>
    <w:rsid w:val="005E36DC"/>
    <w:rsid w:val="005E385F"/>
    <w:rsid w:val="005E5B81"/>
    <w:rsid w:val="005F2CB1"/>
    <w:rsid w:val="005F3025"/>
    <w:rsid w:val="005F618C"/>
    <w:rsid w:val="005F61AC"/>
    <w:rsid w:val="005F70BD"/>
    <w:rsid w:val="0060283C"/>
    <w:rsid w:val="00604EFE"/>
    <w:rsid w:val="00604F14"/>
    <w:rsid w:val="00610007"/>
    <w:rsid w:val="00611B83"/>
    <w:rsid w:val="00613257"/>
    <w:rsid w:val="00613481"/>
    <w:rsid w:val="006134D5"/>
    <w:rsid w:val="00614AD8"/>
    <w:rsid w:val="0061610F"/>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2776"/>
    <w:rsid w:val="00643475"/>
    <w:rsid w:val="0064396A"/>
    <w:rsid w:val="0064431F"/>
    <w:rsid w:val="0064624E"/>
    <w:rsid w:val="006462EB"/>
    <w:rsid w:val="0064678A"/>
    <w:rsid w:val="00646978"/>
    <w:rsid w:val="00650AB9"/>
    <w:rsid w:val="00652053"/>
    <w:rsid w:val="00655733"/>
    <w:rsid w:val="00655ACD"/>
    <w:rsid w:val="00656A92"/>
    <w:rsid w:val="00656DDE"/>
    <w:rsid w:val="0066011D"/>
    <w:rsid w:val="006607C0"/>
    <w:rsid w:val="006613A6"/>
    <w:rsid w:val="006627A2"/>
    <w:rsid w:val="006634E6"/>
    <w:rsid w:val="00664197"/>
    <w:rsid w:val="006655EE"/>
    <w:rsid w:val="00665EE9"/>
    <w:rsid w:val="00666113"/>
    <w:rsid w:val="00666A5F"/>
    <w:rsid w:val="00667EE7"/>
    <w:rsid w:val="00670860"/>
    <w:rsid w:val="00670922"/>
    <w:rsid w:val="00670BE1"/>
    <w:rsid w:val="0067110F"/>
    <w:rsid w:val="0067218F"/>
    <w:rsid w:val="00673E28"/>
    <w:rsid w:val="006741F2"/>
    <w:rsid w:val="00674CC3"/>
    <w:rsid w:val="00674EFF"/>
    <w:rsid w:val="00675C72"/>
    <w:rsid w:val="006771F9"/>
    <w:rsid w:val="006776D7"/>
    <w:rsid w:val="00681003"/>
    <w:rsid w:val="006817C9"/>
    <w:rsid w:val="00683ECE"/>
    <w:rsid w:val="00690EC3"/>
    <w:rsid w:val="00693728"/>
    <w:rsid w:val="00693FEC"/>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41A6"/>
    <w:rsid w:val="006C5EC9"/>
    <w:rsid w:val="006C6059"/>
    <w:rsid w:val="006C7522"/>
    <w:rsid w:val="006C77D2"/>
    <w:rsid w:val="006C7BB1"/>
    <w:rsid w:val="006D4639"/>
    <w:rsid w:val="006D5B75"/>
    <w:rsid w:val="006D6F08"/>
    <w:rsid w:val="006E042E"/>
    <w:rsid w:val="006E062C"/>
    <w:rsid w:val="006E0F8F"/>
    <w:rsid w:val="006E10CB"/>
    <w:rsid w:val="006E10F9"/>
    <w:rsid w:val="006E20B5"/>
    <w:rsid w:val="006E28B7"/>
    <w:rsid w:val="006E3310"/>
    <w:rsid w:val="006E4E39"/>
    <w:rsid w:val="006E565E"/>
    <w:rsid w:val="006E587D"/>
    <w:rsid w:val="006E673D"/>
    <w:rsid w:val="006E7179"/>
    <w:rsid w:val="006E719E"/>
    <w:rsid w:val="006E7D3B"/>
    <w:rsid w:val="006F1429"/>
    <w:rsid w:val="006F1B70"/>
    <w:rsid w:val="006F341D"/>
    <w:rsid w:val="006F3CDE"/>
    <w:rsid w:val="006F4818"/>
    <w:rsid w:val="006F58D4"/>
    <w:rsid w:val="0070346E"/>
    <w:rsid w:val="00704A92"/>
    <w:rsid w:val="00704EDB"/>
    <w:rsid w:val="00706101"/>
    <w:rsid w:val="00707072"/>
    <w:rsid w:val="00707D61"/>
    <w:rsid w:val="00711881"/>
    <w:rsid w:val="007120D7"/>
    <w:rsid w:val="00712287"/>
    <w:rsid w:val="0071258E"/>
    <w:rsid w:val="00712772"/>
    <w:rsid w:val="007148D3"/>
    <w:rsid w:val="00715B9A"/>
    <w:rsid w:val="007206FB"/>
    <w:rsid w:val="00724609"/>
    <w:rsid w:val="0072634E"/>
    <w:rsid w:val="00726EA6"/>
    <w:rsid w:val="00727208"/>
    <w:rsid w:val="00727680"/>
    <w:rsid w:val="00727AB7"/>
    <w:rsid w:val="0073132A"/>
    <w:rsid w:val="00732AA7"/>
    <w:rsid w:val="00732EDA"/>
    <w:rsid w:val="007330E9"/>
    <w:rsid w:val="00733F12"/>
    <w:rsid w:val="007348B1"/>
    <w:rsid w:val="007362A6"/>
    <w:rsid w:val="00736D7D"/>
    <w:rsid w:val="0074083B"/>
    <w:rsid w:val="00740E58"/>
    <w:rsid w:val="007445A0"/>
    <w:rsid w:val="0074524B"/>
    <w:rsid w:val="00747D8B"/>
    <w:rsid w:val="00751213"/>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85C42"/>
    <w:rsid w:val="007915EA"/>
    <w:rsid w:val="007925EA"/>
    <w:rsid w:val="00793264"/>
    <w:rsid w:val="00793CD8"/>
    <w:rsid w:val="00795C92"/>
    <w:rsid w:val="00796231"/>
    <w:rsid w:val="007A1CB3"/>
    <w:rsid w:val="007A306F"/>
    <w:rsid w:val="007A43A6"/>
    <w:rsid w:val="007A58A6"/>
    <w:rsid w:val="007A5C03"/>
    <w:rsid w:val="007A644E"/>
    <w:rsid w:val="007B3D2D"/>
    <w:rsid w:val="007B50AE"/>
    <w:rsid w:val="007B51DF"/>
    <w:rsid w:val="007B6ABB"/>
    <w:rsid w:val="007C05DD"/>
    <w:rsid w:val="007C3D18"/>
    <w:rsid w:val="007C45DF"/>
    <w:rsid w:val="007C60BF"/>
    <w:rsid w:val="007C6A07"/>
    <w:rsid w:val="007C75A1"/>
    <w:rsid w:val="007C77A5"/>
    <w:rsid w:val="007D04E5"/>
    <w:rsid w:val="007D5901"/>
    <w:rsid w:val="007D7526"/>
    <w:rsid w:val="007E2876"/>
    <w:rsid w:val="007E3007"/>
    <w:rsid w:val="007E37A6"/>
    <w:rsid w:val="007E4610"/>
    <w:rsid w:val="007E4715"/>
    <w:rsid w:val="007E505B"/>
    <w:rsid w:val="007E7091"/>
    <w:rsid w:val="007F655E"/>
    <w:rsid w:val="007F6B2B"/>
    <w:rsid w:val="00803FAE"/>
    <w:rsid w:val="0080605F"/>
    <w:rsid w:val="00806413"/>
    <w:rsid w:val="00806A9D"/>
    <w:rsid w:val="00807786"/>
    <w:rsid w:val="008113B0"/>
    <w:rsid w:val="00811FCB"/>
    <w:rsid w:val="00812BD8"/>
    <w:rsid w:val="008147E9"/>
    <w:rsid w:val="008158D6"/>
    <w:rsid w:val="00817196"/>
    <w:rsid w:val="008235DB"/>
    <w:rsid w:val="00824AB4"/>
    <w:rsid w:val="008255A6"/>
    <w:rsid w:val="00825C42"/>
    <w:rsid w:val="00825D25"/>
    <w:rsid w:val="00827D6F"/>
    <w:rsid w:val="008317D6"/>
    <w:rsid w:val="00831E2D"/>
    <w:rsid w:val="00834B69"/>
    <w:rsid w:val="008376AC"/>
    <w:rsid w:val="00837BB4"/>
    <w:rsid w:val="0084390B"/>
    <w:rsid w:val="008444E8"/>
    <w:rsid w:val="00844E80"/>
    <w:rsid w:val="00846FE7"/>
    <w:rsid w:val="00851314"/>
    <w:rsid w:val="00854F97"/>
    <w:rsid w:val="008565FC"/>
    <w:rsid w:val="00856911"/>
    <w:rsid w:val="00857108"/>
    <w:rsid w:val="008621D8"/>
    <w:rsid w:val="008677FD"/>
    <w:rsid w:val="008706D4"/>
    <w:rsid w:val="00870F8A"/>
    <w:rsid w:val="008719A4"/>
    <w:rsid w:val="00871D23"/>
    <w:rsid w:val="00873DB0"/>
    <w:rsid w:val="00874312"/>
    <w:rsid w:val="0087437C"/>
    <w:rsid w:val="0087523D"/>
    <w:rsid w:val="00875CD7"/>
    <w:rsid w:val="00875DA0"/>
    <w:rsid w:val="00876B4D"/>
    <w:rsid w:val="008770B6"/>
    <w:rsid w:val="00877F18"/>
    <w:rsid w:val="00887046"/>
    <w:rsid w:val="008918BE"/>
    <w:rsid w:val="00894A88"/>
    <w:rsid w:val="00895386"/>
    <w:rsid w:val="008A21FF"/>
    <w:rsid w:val="008A2CE2"/>
    <w:rsid w:val="008A30AC"/>
    <w:rsid w:val="008A44B8"/>
    <w:rsid w:val="008A50C1"/>
    <w:rsid w:val="008A51A8"/>
    <w:rsid w:val="008A54C7"/>
    <w:rsid w:val="008A77D8"/>
    <w:rsid w:val="008B003C"/>
    <w:rsid w:val="008B0483"/>
    <w:rsid w:val="008B120C"/>
    <w:rsid w:val="008B1A5E"/>
    <w:rsid w:val="008B3330"/>
    <w:rsid w:val="008B51A0"/>
    <w:rsid w:val="008B592A"/>
    <w:rsid w:val="008B7B5C"/>
    <w:rsid w:val="008C0C99"/>
    <w:rsid w:val="008C2017"/>
    <w:rsid w:val="008C4958"/>
    <w:rsid w:val="008C4BAA"/>
    <w:rsid w:val="008C66A7"/>
    <w:rsid w:val="008C6AE8"/>
    <w:rsid w:val="008C7573"/>
    <w:rsid w:val="008D09A8"/>
    <w:rsid w:val="008D1469"/>
    <w:rsid w:val="008D34F1"/>
    <w:rsid w:val="008D39D8"/>
    <w:rsid w:val="008D39DB"/>
    <w:rsid w:val="008D6D1A"/>
    <w:rsid w:val="008E065E"/>
    <w:rsid w:val="008E0927"/>
    <w:rsid w:val="008E1909"/>
    <w:rsid w:val="008F1EAB"/>
    <w:rsid w:val="008F2FC8"/>
    <w:rsid w:val="008F33DC"/>
    <w:rsid w:val="008F477F"/>
    <w:rsid w:val="008F4DBD"/>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6A"/>
    <w:rsid w:val="00917CE9"/>
    <w:rsid w:val="00920BF2"/>
    <w:rsid w:val="00921132"/>
    <w:rsid w:val="00922010"/>
    <w:rsid w:val="0092222C"/>
    <w:rsid w:val="009237FA"/>
    <w:rsid w:val="009238A2"/>
    <w:rsid w:val="00926880"/>
    <w:rsid w:val="00926B2A"/>
    <w:rsid w:val="00926D79"/>
    <w:rsid w:val="00931ADC"/>
    <w:rsid w:val="00931BD9"/>
    <w:rsid w:val="00933542"/>
    <w:rsid w:val="00934689"/>
    <w:rsid w:val="009368F3"/>
    <w:rsid w:val="00937419"/>
    <w:rsid w:val="0093751B"/>
    <w:rsid w:val="00941636"/>
    <w:rsid w:val="00943742"/>
    <w:rsid w:val="00945C05"/>
    <w:rsid w:val="00946945"/>
    <w:rsid w:val="00946D7D"/>
    <w:rsid w:val="00947713"/>
    <w:rsid w:val="00950DE7"/>
    <w:rsid w:val="00953920"/>
    <w:rsid w:val="00953D47"/>
    <w:rsid w:val="00954EE3"/>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31F3"/>
    <w:rsid w:val="009940DA"/>
    <w:rsid w:val="00994DCA"/>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4A00"/>
    <w:rsid w:val="009D4FF0"/>
    <w:rsid w:val="009D5873"/>
    <w:rsid w:val="009D703C"/>
    <w:rsid w:val="009D718F"/>
    <w:rsid w:val="009E068F"/>
    <w:rsid w:val="009E14E0"/>
    <w:rsid w:val="009E35DB"/>
    <w:rsid w:val="009E47A3"/>
    <w:rsid w:val="009E5CFA"/>
    <w:rsid w:val="009E6130"/>
    <w:rsid w:val="009F08F3"/>
    <w:rsid w:val="009F344F"/>
    <w:rsid w:val="009F44AD"/>
    <w:rsid w:val="009F515C"/>
    <w:rsid w:val="00A00BCB"/>
    <w:rsid w:val="00A04098"/>
    <w:rsid w:val="00A048A8"/>
    <w:rsid w:val="00A04F49"/>
    <w:rsid w:val="00A076AD"/>
    <w:rsid w:val="00A11874"/>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38C1"/>
    <w:rsid w:val="00A44B19"/>
    <w:rsid w:val="00A45B74"/>
    <w:rsid w:val="00A52E1D"/>
    <w:rsid w:val="00A530F3"/>
    <w:rsid w:val="00A5420E"/>
    <w:rsid w:val="00A54344"/>
    <w:rsid w:val="00A5599C"/>
    <w:rsid w:val="00A607DA"/>
    <w:rsid w:val="00A60C02"/>
    <w:rsid w:val="00A61499"/>
    <w:rsid w:val="00A62A77"/>
    <w:rsid w:val="00A63483"/>
    <w:rsid w:val="00A6444C"/>
    <w:rsid w:val="00A657D7"/>
    <w:rsid w:val="00A65EFF"/>
    <w:rsid w:val="00A660AC"/>
    <w:rsid w:val="00A6656C"/>
    <w:rsid w:val="00A66F55"/>
    <w:rsid w:val="00A67326"/>
    <w:rsid w:val="00A67E6C"/>
    <w:rsid w:val="00A71B99"/>
    <w:rsid w:val="00A72720"/>
    <w:rsid w:val="00A739D0"/>
    <w:rsid w:val="00A74893"/>
    <w:rsid w:val="00A761D4"/>
    <w:rsid w:val="00A76628"/>
    <w:rsid w:val="00A7795D"/>
    <w:rsid w:val="00A77EC4"/>
    <w:rsid w:val="00A847FD"/>
    <w:rsid w:val="00A84981"/>
    <w:rsid w:val="00A9043D"/>
    <w:rsid w:val="00A92879"/>
    <w:rsid w:val="00A93553"/>
    <w:rsid w:val="00A9442A"/>
    <w:rsid w:val="00A94804"/>
    <w:rsid w:val="00A968C2"/>
    <w:rsid w:val="00AA016F"/>
    <w:rsid w:val="00AA0471"/>
    <w:rsid w:val="00AA07DD"/>
    <w:rsid w:val="00AA1C89"/>
    <w:rsid w:val="00AA1E98"/>
    <w:rsid w:val="00AA1ED6"/>
    <w:rsid w:val="00AA51D6"/>
    <w:rsid w:val="00AA6C64"/>
    <w:rsid w:val="00AB0BC8"/>
    <w:rsid w:val="00AB11CA"/>
    <w:rsid w:val="00AB14D9"/>
    <w:rsid w:val="00AB1A1B"/>
    <w:rsid w:val="00AB4AB8"/>
    <w:rsid w:val="00AB655E"/>
    <w:rsid w:val="00AC007F"/>
    <w:rsid w:val="00AC2ECD"/>
    <w:rsid w:val="00AC3119"/>
    <w:rsid w:val="00AC3CD6"/>
    <w:rsid w:val="00AC49FB"/>
    <w:rsid w:val="00AC5A10"/>
    <w:rsid w:val="00AD0AA3"/>
    <w:rsid w:val="00AD222F"/>
    <w:rsid w:val="00AD3F94"/>
    <w:rsid w:val="00AD4A5A"/>
    <w:rsid w:val="00AD5D60"/>
    <w:rsid w:val="00AD6012"/>
    <w:rsid w:val="00AE07D5"/>
    <w:rsid w:val="00AE27AC"/>
    <w:rsid w:val="00AE2CDB"/>
    <w:rsid w:val="00AE3743"/>
    <w:rsid w:val="00AE40E0"/>
    <w:rsid w:val="00AE4DBA"/>
    <w:rsid w:val="00AE4F07"/>
    <w:rsid w:val="00AE4F74"/>
    <w:rsid w:val="00AE79B9"/>
    <w:rsid w:val="00AE7FA6"/>
    <w:rsid w:val="00AF1C5D"/>
    <w:rsid w:val="00AF1C9B"/>
    <w:rsid w:val="00AF2A5C"/>
    <w:rsid w:val="00AF42D7"/>
    <w:rsid w:val="00AF538A"/>
    <w:rsid w:val="00AF72D1"/>
    <w:rsid w:val="00B00318"/>
    <w:rsid w:val="00B006FE"/>
    <w:rsid w:val="00B007CB"/>
    <w:rsid w:val="00B02AA9"/>
    <w:rsid w:val="00B02FA3"/>
    <w:rsid w:val="00B037A0"/>
    <w:rsid w:val="00B05084"/>
    <w:rsid w:val="00B0546F"/>
    <w:rsid w:val="00B14884"/>
    <w:rsid w:val="00B157F9"/>
    <w:rsid w:val="00B20256"/>
    <w:rsid w:val="00B20D09"/>
    <w:rsid w:val="00B21E09"/>
    <w:rsid w:val="00B256CD"/>
    <w:rsid w:val="00B27619"/>
    <w:rsid w:val="00B2763F"/>
    <w:rsid w:val="00B27AAC"/>
    <w:rsid w:val="00B27F39"/>
    <w:rsid w:val="00B30929"/>
    <w:rsid w:val="00B32322"/>
    <w:rsid w:val="00B372AA"/>
    <w:rsid w:val="00B40352"/>
    <w:rsid w:val="00B40445"/>
    <w:rsid w:val="00B41888"/>
    <w:rsid w:val="00B45A52"/>
    <w:rsid w:val="00B46175"/>
    <w:rsid w:val="00B478A1"/>
    <w:rsid w:val="00B506A4"/>
    <w:rsid w:val="00B578D4"/>
    <w:rsid w:val="00B57E24"/>
    <w:rsid w:val="00B610DC"/>
    <w:rsid w:val="00B6188F"/>
    <w:rsid w:val="00B66295"/>
    <w:rsid w:val="00B664C7"/>
    <w:rsid w:val="00B739F6"/>
    <w:rsid w:val="00B81A6C"/>
    <w:rsid w:val="00B82918"/>
    <w:rsid w:val="00B833B8"/>
    <w:rsid w:val="00B84986"/>
    <w:rsid w:val="00B85DE5"/>
    <w:rsid w:val="00B90F73"/>
    <w:rsid w:val="00B93B59"/>
    <w:rsid w:val="00B9406A"/>
    <w:rsid w:val="00B94145"/>
    <w:rsid w:val="00BA0B68"/>
    <w:rsid w:val="00BA122A"/>
    <w:rsid w:val="00BA18BE"/>
    <w:rsid w:val="00BA2280"/>
    <w:rsid w:val="00BA2A08"/>
    <w:rsid w:val="00BA4F79"/>
    <w:rsid w:val="00BA56D2"/>
    <w:rsid w:val="00BA76E0"/>
    <w:rsid w:val="00BB1C94"/>
    <w:rsid w:val="00BB2A25"/>
    <w:rsid w:val="00BB51E9"/>
    <w:rsid w:val="00BC0FDC"/>
    <w:rsid w:val="00BC2D97"/>
    <w:rsid w:val="00BC3053"/>
    <w:rsid w:val="00BC4B3E"/>
    <w:rsid w:val="00BC4D2E"/>
    <w:rsid w:val="00BD1CD5"/>
    <w:rsid w:val="00BD48AC"/>
    <w:rsid w:val="00BD5EF9"/>
    <w:rsid w:val="00BD5F1A"/>
    <w:rsid w:val="00BE1234"/>
    <w:rsid w:val="00BE1F85"/>
    <w:rsid w:val="00BE20E7"/>
    <w:rsid w:val="00BE2FA6"/>
    <w:rsid w:val="00BE333F"/>
    <w:rsid w:val="00BE6301"/>
    <w:rsid w:val="00BE6EC4"/>
    <w:rsid w:val="00BE7406"/>
    <w:rsid w:val="00BE7603"/>
    <w:rsid w:val="00BF0797"/>
    <w:rsid w:val="00BF3279"/>
    <w:rsid w:val="00BF74C7"/>
    <w:rsid w:val="00C0017D"/>
    <w:rsid w:val="00C015F1"/>
    <w:rsid w:val="00C01F33"/>
    <w:rsid w:val="00C02CC6"/>
    <w:rsid w:val="00C0343D"/>
    <w:rsid w:val="00C040F7"/>
    <w:rsid w:val="00C041B0"/>
    <w:rsid w:val="00C044AB"/>
    <w:rsid w:val="00C05706"/>
    <w:rsid w:val="00C07377"/>
    <w:rsid w:val="00C10478"/>
    <w:rsid w:val="00C10C68"/>
    <w:rsid w:val="00C12107"/>
    <w:rsid w:val="00C13009"/>
    <w:rsid w:val="00C13074"/>
    <w:rsid w:val="00C14D4B"/>
    <w:rsid w:val="00C154BB"/>
    <w:rsid w:val="00C156CF"/>
    <w:rsid w:val="00C15D6F"/>
    <w:rsid w:val="00C16602"/>
    <w:rsid w:val="00C24345"/>
    <w:rsid w:val="00C26F53"/>
    <w:rsid w:val="00C279B5"/>
    <w:rsid w:val="00C27C45"/>
    <w:rsid w:val="00C306B6"/>
    <w:rsid w:val="00C31AB6"/>
    <w:rsid w:val="00C355B2"/>
    <w:rsid w:val="00C3719D"/>
    <w:rsid w:val="00C504EE"/>
    <w:rsid w:val="00C54995"/>
    <w:rsid w:val="00C54D41"/>
    <w:rsid w:val="00C577A9"/>
    <w:rsid w:val="00C60783"/>
    <w:rsid w:val="00C60C1E"/>
    <w:rsid w:val="00C613A7"/>
    <w:rsid w:val="00C639D3"/>
    <w:rsid w:val="00C63B99"/>
    <w:rsid w:val="00C64672"/>
    <w:rsid w:val="00C660E8"/>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5E2"/>
    <w:rsid w:val="00CC36ED"/>
    <w:rsid w:val="00CC3EA0"/>
    <w:rsid w:val="00CC5420"/>
    <w:rsid w:val="00CC565B"/>
    <w:rsid w:val="00CC7B45"/>
    <w:rsid w:val="00CD1188"/>
    <w:rsid w:val="00CD2ED1"/>
    <w:rsid w:val="00CD3270"/>
    <w:rsid w:val="00CD337B"/>
    <w:rsid w:val="00CD7859"/>
    <w:rsid w:val="00CE0424"/>
    <w:rsid w:val="00CE6822"/>
    <w:rsid w:val="00CE7561"/>
    <w:rsid w:val="00CF1354"/>
    <w:rsid w:val="00CF2386"/>
    <w:rsid w:val="00CF3B1F"/>
    <w:rsid w:val="00CF3BF6"/>
    <w:rsid w:val="00CF5A60"/>
    <w:rsid w:val="00CF625B"/>
    <w:rsid w:val="00CF687E"/>
    <w:rsid w:val="00CF7C5D"/>
    <w:rsid w:val="00D0349B"/>
    <w:rsid w:val="00D05F78"/>
    <w:rsid w:val="00D10249"/>
    <w:rsid w:val="00D115C3"/>
    <w:rsid w:val="00D11897"/>
    <w:rsid w:val="00D13135"/>
    <w:rsid w:val="00D13E4E"/>
    <w:rsid w:val="00D2095A"/>
    <w:rsid w:val="00D239A7"/>
    <w:rsid w:val="00D23F47"/>
    <w:rsid w:val="00D30424"/>
    <w:rsid w:val="00D307A9"/>
    <w:rsid w:val="00D318BF"/>
    <w:rsid w:val="00D33358"/>
    <w:rsid w:val="00D36E71"/>
    <w:rsid w:val="00D36F80"/>
    <w:rsid w:val="00D37D87"/>
    <w:rsid w:val="00D40A97"/>
    <w:rsid w:val="00D40B33"/>
    <w:rsid w:val="00D4113D"/>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6CA3"/>
    <w:rsid w:val="00D871CE"/>
    <w:rsid w:val="00D87E3D"/>
    <w:rsid w:val="00D9196D"/>
    <w:rsid w:val="00D92982"/>
    <w:rsid w:val="00D94809"/>
    <w:rsid w:val="00D97D72"/>
    <w:rsid w:val="00DA191D"/>
    <w:rsid w:val="00DA305E"/>
    <w:rsid w:val="00DA5417"/>
    <w:rsid w:val="00DA56E8"/>
    <w:rsid w:val="00DA57DF"/>
    <w:rsid w:val="00DB0A9F"/>
    <w:rsid w:val="00DB0E0A"/>
    <w:rsid w:val="00DB1B8C"/>
    <w:rsid w:val="00DB3499"/>
    <w:rsid w:val="00DB377D"/>
    <w:rsid w:val="00DB62D9"/>
    <w:rsid w:val="00DC059A"/>
    <w:rsid w:val="00DC11F6"/>
    <w:rsid w:val="00DC2D36"/>
    <w:rsid w:val="00DC3379"/>
    <w:rsid w:val="00DC53EF"/>
    <w:rsid w:val="00DE5608"/>
    <w:rsid w:val="00DE561F"/>
    <w:rsid w:val="00DE58D0"/>
    <w:rsid w:val="00DE5E82"/>
    <w:rsid w:val="00DE654F"/>
    <w:rsid w:val="00DF0B6E"/>
    <w:rsid w:val="00DF15E0"/>
    <w:rsid w:val="00DF16E0"/>
    <w:rsid w:val="00DF1D19"/>
    <w:rsid w:val="00DF37A0"/>
    <w:rsid w:val="00DF41B4"/>
    <w:rsid w:val="00E03B18"/>
    <w:rsid w:val="00E05139"/>
    <w:rsid w:val="00E1076D"/>
    <w:rsid w:val="00E110E7"/>
    <w:rsid w:val="00E115AB"/>
    <w:rsid w:val="00E1183C"/>
    <w:rsid w:val="00E11B20"/>
    <w:rsid w:val="00E11D7E"/>
    <w:rsid w:val="00E16276"/>
    <w:rsid w:val="00E17FA2"/>
    <w:rsid w:val="00E22330"/>
    <w:rsid w:val="00E23F32"/>
    <w:rsid w:val="00E258A6"/>
    <w:rsid w:val="00E30B5A"/>
    <w:rsid w:val="00E3123D"/>
    <w:rsid w:val="00E31461"/>
    <w:rsid w:val="00E31C1B"/>
    <w:rsid w:val="00E31D43"/>
    <w:rsid w:val="00E32608"/>
    <w:rsid w:val="00E333EF"/>
    <w:rsid w:val="00E33785"/>
    <w:rsid w:val="00E34188"/>
    <w:rsid w:val="00E34B6E"/>
    <w:rsid w:val="00E35559"/>
    <w:rsid w:val="00E35FBB"/>
    <w:rsid w:val="00E3723A"/>
    <w:rsid w:val="00E37860"/>
    <w:rsid w:val="00E413C2"/>
    <w:rsid w:val="00E4217C"/>
    <w:rsid w:val="00E446F1"/>
    <w:rsid w:val="00E46886"/>
    <w:rsid w:val="00E4743B"/>
    <w:rsid w:val="00E47AEF"/>
    <w:rsid w:val="00E5068B"/>
    <w:rsid w:val="00E53B75"/>
    <w:rsid w:val="00E54E3B"/>
    <w:rsid w:val="00E55347"/>
    <w:rsid w:val="00E57565"/>
    <w:rsid w:val="00E57E38"/>
    <w:rsid w:val="00E61942"/>
    <w:rsid w:val="00E62C20"/>
    <w:rsid w:val="00E63838"/>
    <w:rsid w:val="00E64434"/>
    <w:rsid w:val="00E64C0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A2BD0"/>
    <w:rsid w:val="00EA7A41"/>
    <w:rsid w:val="00EB06BF"/>
    <w:rsid w:val="00EB077B"/>
    <w:rsid w:val="00EB33DB"/>
    <w:rsid w:val="00EB4A3B"/>
    <w:rsid w:val="00EB4EA2"/>
    <w:rsid w:val="00EB6524"/>
    <w:rsid w:val="00EB7127"/>
    <w:rsid w:val="00EC27C6"/>
    <w:rsid w:val="00EC4207"/>
    <w:rsid w:val="00EC45E1"/>
    <w:rsid w:val="00EC497F"/>
    <w:rsid w:val="00EC5653"/>
    <w:rsid w:val="00EC60B0"/>
    <w:rsid w:val="00EC71CE"/>
    <w:rsid w:val="00ED1006"/>
    <w:rsid w:val="00ED1648"/>
    <w:rsid w:val="00ED5458"/>
    <w:rsid w:val="00ED7D98"/>
    <w:rsid w:val="00EE1DC6"/>
    <w:rsid w:val="00EE3B63"/>
    <w:rsid w:val="00EE6C3F"/>
    <w:rsid w:val="00EF18E8"/>
    <w:rsid w:val="00EF18FE"/>
    <w:rsid w:val="00EF1E02"/>
    <w:rsid w:val="00EF4C5F"/>
    <w:rsid w:val="00EF5787"/>
    <w:rsid w:val="00EF60D0"/>
    <w:rsid w:val="00F00C89"/>
    <w:rsid w:val="00F04E47"/>
    <w:rsid w:val="00F0528D"/>
    <w:rsid w:val="00F064AF"/>
    <w:rsid w:val="00F06C67"/>
    <w:rsid w:val="00F06DFD"/>
    <w:rsid w:val="00F071D1"/>
    <w:rsid w:val="00F07533"/>
    <w:rsid w:val="00F10629"/>
    <w:rsid w:val="00F11915"/>
    <w:rsid w:val="00F11DA7"/>
    <w:rsid w:val="00F12D5C"/>
    <w:rsid w:val="00F13347"/>
    <w:rsid w:val="00F1494E"/>
    <w:rsid w:val="00F15FA5"/>
    <w:rsid w:val="00F209B7"/>
    <w:rsid w:val="00F21965"/>
    <w:rsid w:val="00F22F7C"/>
    <w:rsid w:val="00F2376F"/>
    <w:rsid w:val="00F243D8"/>
    <w:rsid w:val="00F25D17"/>
    <w:rsid w:val="00F270EB"/>
    <w:rsid w:val="00F27DCC"/>
    <w:rsid w:val="00F30828"/>
    <w:rsid w:val="00F30A61"/>
    <w:rsid w:val="00F313D6"/>
    <w:rsid w:val="00F3437A"/>
    <w:rsid w:val="00F37C21"/>
    <w:rsid w:val="00F40F0C"/>
    <w:rsid w:val="00F41D81"/>
    <w:rsid w:val="00F4766C"/>
    <w:rsid w:val="00F4799F"/>
    <w:rsid w:val="00F507D1"/>
    <w:rsid w:val="00F519CE"/>
    <w:rsid w:val="00F51ADA"/>
    <w:rsid w:val="00F542D7"/>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55CA"/>
    <w:rsid w:val="00F76EFA"/>
    <w:rsid w:val="00F804BE"/>
    <w:rsid w:val="00F817CE"/>
    <w:rsid w:val="00F8456C"/>
    <w:rsid w:val="00F859D8"/>
    <w:rsid w:val="00F85C60"/>
    <w:rsid w:val="00F868F5"/>
    <w:rsid w:val="00F9027D"/>
    <w:rsid w:val="00F90485"/>
    <w:rsid w:val="00F9056A"/>
    <w:rsid w:val="00F90F8D"/>
    <w:rsid w:val="00F9165B"/>
    <w:rsid w:val="00F92782"/>
    <w:rsid w:val="00F93AA9"/>
    <w:rsid w:val="00F960BC"/>
    <w:rsid w:val="00F96985"/>
    <w:rsid w:val="00F97838"/>
    <w:rsid w:val="00FA298E"/>
    <w:rsid w:val="00FA2BB3"/>
    <w:rsid w:val="00FA5975"/>
    <w:rsid w:val="00FA7A51"/>
    <w:rsid w:val="00FB4246"/>
    <w:rsid w:val="00FB4C80"/>
    <w:rsid w:val="00FB6A6A"/>
    <w:rsid w:val="00FB71E5"/>
    <w:rsid w:val="00FC4CCA"/>
    <w:rsid w:val="00FC5B7E"/>
    <w:rsid w:val="00FC657B"/>
    <w:rsid w:val="00FC7429"/>
    <w:rsid w:val="00FD03C3"/>
    <w:rsid w:val="00FD07F6"/>
    <w:rsid w:val="00FD0824"/>
    <w:rsid w:val="00FD1EC8"/>
    <w:rsid w:val="00FD207B"/>
    <w:rsid w:val="00FD32D6"/>
    <w:rsid w:val="00FD47ED"/>
    <w:rsid w:val="00FD74DB"/>
    <w:rsid w:val="00FD7660"/>
    <w:rsid w:val="00FD7D3E"/>
    <w:rsid w:val="00FE0655"/>
    <w:rsid w:val="00FE2365"/>
    <w:rsid w:val="00FE4A76"/>
    <w:rsid w:val="00FE4C7B"/>
    <w:rsid w:val="00FE7336"/>
    <w:rsid w:val="00FE787C"/>
    <w:rsid w:val="00FF45A5"/>
    <w:rsid w:val="00FF59E2"/>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522DC5DE-C929-4588-8EE4-F6B5A6D3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styleId="UnresolvedMention">
    <w:name w:val="Unresolved Mention"/>
    <w:basedOn w:val="DefaultParagraphFont"/>
    <w:uiPriority w:val="99"/>
    <w:semiHidden/>
    <w:unhideWhenUsed/>
    <w:rsid w:val="00E258A6"/>
    <w:rPr>
      <w:color w:val="605E5C"/>
      <w:shd w:val="clear" w:color="auto" w:fill="E1DFDD"/>
    </w:rPr>
  </w:style>
  <w:style w:type="paragraph" w:customStyle="1" w:styleId="TdocHeader">
    <w:name w:val="TdocHeader"/>
    <w:basedOn w:val="Normal"/>
    <w:link w:val="TdocHeaderChar"/>
    <w:qFormat/>
    <w:rsid w:val="003E7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3E7B80"/>
    <w:rPr>
      <w:rFonts w:ascii="Arial" w:hAnsi="Arial"/>
      <w:sz w:val="22"/>
      <w:shd w:val="clear" w:color="auto" w:fill="FBE4D5" w:themeFill="accent2" w:themeFillTint="33"/>
      <w:lang w:val="en-GB" w:eastAsia="zh-CN"/>
    </w:rPr>
  </w:style>
  <w:style w:type="paragraph" w:customStyle="1" w:styleId="ReviewText">
    <w:name w:val="ReviewText"/>
    <w:basedOn w:val="Normal"/>
    <w:link w:val="ReviewTextChar"/>
    <w:qFormat/>
    <w:rsid w:val="003D3CD6"/>
    <w:pPr>
      <w:spacing w:after="80"/>
      <w:ind w:left="567"/>
      <w:jc w:val="left"/>
      <w15:collapsed/>
    </w:pPr>
  </w:style>
  <w:style w:type="character" w:customStyle="1" w:styleId="ReviewTextChar">
    <w:name w:val="ReviewText Char"/>
    <w:basedOn w:val="DefaultParagraphFont"/>
    <w:link w:val="ReviewText"/>
    <w:rsid w:val="003D3CD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4962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59946835">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3318E-DF8A-4DCD-BA0E-70E747230FB8}"/>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339E1DA-42DB-4617-8028-272A5DBF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100</TotalTime>
  <Pages>3</Pages>
  <Words>974</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117</cp:revision>
  <cp:lastPrinted>2008-02-01T01:09:00Z</cp:lastPrinted>
  <dcterms:created xsi:type="dcterms:W3CDTF">2019-08-07T16:34:00Z</dcterms:created>
  <dcterms:modified xsi:type="dcterms:W3CDTF">2019-08-16T09:26:00Z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18a4741c-6fb6-459f-af71-73933c438e41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